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5D5F3C" w14:textId="0EA61FF4" w:rsidR="009D2CDF" w:rsidRPr="001E772B" w:rsidRDefault="00ED284B" w:rsidP="001E772B">
      <w:pPr>
        <w:tabs>
          <w:tab w:val="right" w:pos="9000"/>
        </w:tabs>
        <w:rPr>
          <w:rFonts w:asciiTheme="minorHAnsi" w:hAnsiTheme="minorHAnsi"/>
          <w:b/>
          <w:bCs/>
        </w:rPr>
      </w:pPr>
      <w:r w:rsidRPr="00ED284B">
        <w:rPr>
          <w:rStyle w:val="Style24pt"/>
        </w:rPr>
        <w:t>M</w:t>
      </w:r>
      <w:r w:rsidR="00FC6BAF" w:rsidRPr="00ED284B">
        <w:rPr>
          <w:rStyle w:val="Style24pt"/>
        </w:rPr>
        <w:t>inutes</w:t>
      </w:r>
      <w:r w:rsidR="00E2228B">
        <w:rPr>
          <w:rFonts w:ascii="DIN-Regular" w:hAnsi="DIN-Regular"/>
          <w:sz w:val="48"/>
        </w:rPr>
        <w:tab/>
      </w:r>
    </w:p>
    <w:tbl>
      <w:tblPr>
        <w:tblW w:w="9214" w:type="dxa"/>
        <w:tblCellMar>
          <w:top w:w="57" w:type="dxa"/>
          <w:bottom w:w="57" w:type="dxa"/>
        </w:tblCellMar>
        <w:tblLook w:val="04A0" w:firstRow="1" w:lastRow="0" w:firstColumn="1" w:lastColumn="0" w:noHBand="0" w:noVBand="1"/>
      </w:tblPr>
      <w:tblGrid>
        <w:gridCol w:w="2268"/>
        <w:gridCol w:w="6946"/>
      </w:tblGrid>
      <w:tr w:rsidR="001431DA" w14:paraId="300151C3" w14:textId="77777777" w:rsidTr="008D38BF">
        <w:tc>
          <w:tcPr>
            <w:tcW w:w="2268" w:type="dxa"/>
            <w:shd w:val="clear" w:color="auto" w:fill="auto"/>
            <w:vAlign w:val="center"/>
          </w:tcPr>
          <w:p w14:paraId="601B6593" w14:textId="77777777" w:rsidR="001431DA" w:rsidRPr="008D38BF" w:rsidRDefault="001431DA" w:rsidP="00A17AF9">
            <w:pPr>
              <w:pStyle w:val="NoSpacing"/>
              <w:rPr>
                <w:b/>
                <w:bCs/>
              </w:rPr>
            </w:pPr>
            <w:r w:rsidRPr="008D38BF">
              <w:rPr>
                <w:b/>
                <w:bCs/>
              </w:rPr>
              <w:t>Board</w:t>
            </w:r>
          </w:p>
        </w:tc>
        <w:tc>
          <w:tcPr>
            <w:tcW w:w="6946" w:type="dxa"/>
            <w:shd w:val="clear" w:color="auto" w:fill="auto"/>
            <w:vAlign w:val="center"/>
          </w:tcPr>
          <w:p w14:paraId="16149E15" w14:textId="46255F55" w:rsidR="001431DA" w:rsidRPr="005C7F20" w:rsidRDefault="001E22CD" w:rsidP="00A17AF9">
            <w:pPr>
              <w:pStyle w:val="NoSpacing"/>
              <w:rPr>
                <w:szCs w:val="20"/>
              </w:rPr>
            </w:pPr>
            <w:r>
              <w:rPr>
                <w:szCs w:val="20"/>
              </w:rPr>
              <w:t>Charities SORP Committee</w:t>
            </w:r>
          </w:p>
        </w:tc>
      </w:tr>
      <w:tr w:rsidR="001431DA" w14:paraId="3BFB919E" w14:textId="77777777" w:rsidTr="008D38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8" w:type="dxa"/>
            <w:tcBorders>
              <w:top w:val="nil"/>
              <w:left w:val="nil"/>
              <w:bottom w:val="nil"/>
              <w:right w:val="nil"/>
            </w:tcBorders>
            <w:shd w:val="clear" w:color="auto" w:fill="auto"/>
            <w:vAlign w:val="center"/>
          </w:tcPr>
          <w:p w14:paraId="3DAA8047" w14:textId="77777777" w:rsidR="001431DA" w:rsidRPr="008D38BF" w:rsidRDefault="001431DA" w:rsidP="00A17AF9">
            <w:pPr>
              <w:pStyle w:val="NoSpacing"/>
              <w:rPr>
                <w:b/>
                <w:bCs/>
              </w:rPr>
            </w:pPr>
          </w:p>
        </w:tc>
        <w:tc>
          <w:tcPr>
            <w:tcW w:w="6946" w:type="dxa"/>
            <w:tcBorders>
              <w:top w:val="nil"/>
              <w:left w:val="nil"/>
              <w:bottom w:val="nil"/>
              <w:right w:val="nil"/>
            </w:tcBorders>
            <w:shd w:val="clear" w:color="auto" w:fill="auto"/>
            <w:vAlign w:val="center"/>
          </w:tcPr>
          <w:p w14:paraId="510806D9" w14:textId="77777777" w:rsidR="001431DA" w:rsidRDefault="001431DA" w:rsidP="00A17AF9">
            <w:pPr>
              <w:pStyle w:val="NoSpacing"/>
            </w:pPr>
          </w:p>
        </w:tc>
      </w:tr>
      <w:tr w:rsidR="001431DA" w14:paraId="636E0857" w14:textId="77777777" w:rsidTr="008D38BF">
        <w:tc>
          <w:tcPr>
            <w:tcW w:w="2268" w:type="dxa"/>
            <w:shd w:val="clear" w:color="auto" w:fill="auto"/>
            <w:vAlign w:val="center"/>
          </w:tcPr>
          <w:p w14:paraId="3D0E2B9F" w14:textId="77777777" w:rsidR="001431DA" w:rsidRPr="008D38BF" w:rsidRDefault="001431DA" w:rsidP="00A17AF9">
            <w:pPr>
              <w:pStyle w:val="NoSpacing"/>
              <w:rPr>
                <w:b/>
                <w:bCs/>
              </w:rPr>
            </w:pPr>
            <w:r w:rsidRPr="008D38BF">
              <w:rPr>
                <w:b/>
                <w:bCs/>
              </w:rPr>
              <w:t>Date</w:t>
            </w:r>
          </w:p>
        </w:tc>
        <w:tc>
          <w:tcPr>
            <w:tcW w:w="6946" w:type="dxa"/>
            <w:shd w:val="clear" w:color="auto" w:fill="auto"/>
            <w:vAlign w:val="center"/>
          </w:tcPr>
          <w:p w14:paraId="63AC48B4" w14:textId="2B7F253B" w:rsidR="001431DA" w:rsidRDefault="003F4AC2" w:rsidP="00A17AF9">
            <w:pPr>
              <w:pStyle w:val="NoSpacing"/>
            </w:pPr>
            <w:r>
              <w:t>Thursday 8 July</w:t>
            </w:r>
            <w:r w:rsidR="001E22CD">
              <w:t xml:space="preserve"> 2021</w:t>
            </w:r>
          </w:p>
        </w:tc>
      </w:tr>
      <w:tr w:rsidR="001431DA" w14:paraId="4A650F3C" w14:textId="77777777" w:rsidTr="008D38BF">
        <w:trPr>
          <w:trHeight w:val="203"/>
        </w:trPr>
        <w:tc>
          <w:tcPr>
            <w:tcW w:w="2268" w:type="dxa"/>
            <w:shd w:val="clear" w:color="auto" w:fill="auto"/>
            <w:vAlign w:val="center"/>
          </w:tcPr>
          <w:p w14:paraId="0F42E17A" w14:textId="77777777" w:rsidR="001431DA" w:rsidRPr="008D38BF" w:rsidRDefault="001431DA" w:rsidP="00A17AF9">
            <w:pPr>
              <w:pStyle w:val="NoSpacing"/>
              <w:rPr>
                <w:b/>
                <w:bCs/>
              </w:rPr>
            </w:pPr>
          </w:p>
        </w:tc>
        <w:tc>
          <w:tcPr>
            <w:tcW w:w="6946" w:type="dxa"/>
            <w:shd w:val="clear" w:color="auto" w:fill="auto"/>
            <w:vAlign w:val="center"/>
          </w:tcPr>
          <w:p w14:paraId="13D0C011" w14:textId="77777777" w:rsidR="001431DA" w:rsidRDefault="001431DA" w:rsidP="00A17AF9">
            <w:pPr>
              <w:pStyle w:val="NoSpacing"/>
            </w:pPr>
          </w:p>
        </w:tc>
      </w:tr>
      <w:tr w:rsidR="001431DA" w14:paraId="6A86DC09" w14:textId="77777777" w:rsidTr="008D38BF">
        <w:tc>
          <w:tcPr>
            <w:tcW w:w="2268" w:type="dxa"/>
            <w:shd w:val="clear" w:color="auto" w:fill="auto"/>
            <w:vAlign w:val="center"/>
          </w:tcPr>
          <w:p w14:paraId="22066071" w14:textId="28A8A386" w:rsidR="001431DA" w:rsidRPr="008D38BF" w:rsidRDefault="00711938" w:rsidP="00A17AF9">
            <w:pPr>
              <w:pStyle w:val="NoSpacing"/>
              <w:rPr>
                <w:b/>
                <w:bCs/>
              </w:rPr>
            </w:pPr>
            <w:r w:rsidRPr="008D38BF">
              <w:rPr>
                <w:b/>
                <w:bCs/>
              </w:rPr>
              <w:t>Time</w:t>
            </w:r>
          </w:p>
        </w:tc>
        <w:tc>
          <w:tcPr>
            <w:tcW w:w="6946" w:type="dxa"/>
            <w:shd w:val="clear" w:color="auto" w:fill="auto"/>
            <w:vAlign w:val="center"/>
          </w:tcPr>
          <w:p w14:paraId="69AE9B40" w14:textId="5DEE4B20" w:rsidR="001431DA" w:rsidRDefault="001E22CD" w:rsidP="00A17AF9">
            <w:pPr>
              <w:pStyle w:val="NoSpacing"/>
            </w:pPr>
            <w:r>
              <w:t>1</w:t>
            </w:r>
            <w:r w:rsidR="003F4AC2">
              <w:t>0:00 - Noon</w:t>
            </w:r>
          </w:p>
        </w:tc>
      </w:tr>
      <w:tr w:rsidR="001431DA" w14:paraId="6606CFAE" w14:textId="77777777" w:rsidTr="008D38BF">
        <w:tc>
          <w:tcPr>
            <w:tcW w:w="2268" w:type="dxa"/>
            <w:shd w:val="clear" w:color="auto" w:fill="auto"/>
            <w:vAlign w:val="center"/>
          </w:tcPr>
          <w:p w14:paraId="52B433CA" w14:textId="77777777" w:rsidR="001431DA" w:rsidRPr="008D38BF" w:rsidRDefault="001431DA" w:rsidP="00A17AF9">
            <w:pPr>
              <w:pStyle w:val="NoSpacing"/>
              <w:rPr>
                <w:b/>
                <w:bCs/>
              </w:rPr>
            </w:pPr>
          </w:p>
        </w:tc>
        <w:tc>
          <w:tcPr>
            <w:tcW w:w="6946" w:type="dxa"/>
            <w:shd w:val="clear" w:color="auto" w:fill="auto"/>
            <w:vAlign w:val="center"/>
          </w:tcPr>
          <w:p w14:paraId="6633A326" w14:textId="77777777" w:rsidR="001431DA" w:rsidRDefault="001431DA" w:rsidP="00A17AF9">
            <w:pPr>
              <w:pStyle w:val="NoSpacing"/>
            </w:pPr>
          </w:p>
        </w:tc>
      </w:tr>
      <w:tr w:rsidR="001431DA" w14:paraId="043D741C" w14:textId="77777777" w:rsidTr="008D38BF">
        <w:tc>
          <w:tcPr>
            <w:tcW w:w="2268" w:type="dxa"/>
            <w:shd w:val="clear" w:color="auto" w:fill="auto"/>
            <w:vAlign w:val="center"/>
          </w:tcPr>
          <w:p w14:paraId="2E5A2F1D" w14:textId="6142F6E8" w:rsidR="001431DA" w:rsidRPr="008D38BF" w:rsidRDefault="00711938" w:rsidP="00A17AF9">
            <w:pPr>
              <w:pStyle w:val="NoSpacing"/>
              <w:rPr>
                <w:b/>
                <w:bCs/>
              </w:rPr>
            </w:pPr>
            <w:r w:rsidRPr="008D38BF">
              <w:rPr>
                <w:b/>
                <w:bCs/>
              </w:rPr>
              <w:t>Venue</w:t>
            </w:r>
          </w:p>
        </w:tc>
        <w:tc>
          <w:tcPr>
            <w:tcW w:w="6946" w:type="dxa"/>
            <w:shd w:val="clear" w:color="auto" w:fill="auto"/>
            <w:vAlign w:val="center"/>
          </w:tcPr>
          <w:p w14:paraId="54CE2A66" w14:textId="02D5B737" w:rsidR="001431DA" w:rsidRDefault="00CC22B8" w:rsidP="00A17AF9">
            <w:pPr>
              <w:pStyle w:val="NoSpacing"/>
            </w:pPr>
            <w:r>
              <w:t>Microsoft Team</w:t>
            </w:r>
            <w:r w:rsidR="006C19D9">
              <w:t>s</w:t>
            </w:r>
          </w:p>
        </w:tc>
      </w:tr>
      <w:tr w:rsidR="00ED284B" w14:paraId="5F692B4B" w14:textId="77777777" w:rsidTr="008D38BF">
        <w:tc>
          <w:tcPr>
            <w:tcW w:w="2268" w:type="dxa"/>
            <w:tcBorders>
              <w:bottom w:val="single" w:sz="4" w:space="0" w:color="auto"/>
            </w:tcBorders>
            <w:shd w:val="clear" w:color="auto" w:fill="auto"/>
            <w:vAlign w:val="center"/>
          </w:tcPr>
          <w:p w14:paraId="745276EB" w14:textId="77777777" w:rsidR="00ED284B" w:rsidRPr="008D38BF" w:rsidRDefault="00ED284B" w:rsidP="00A17AF9">
            <w:pPr>
              <w:pStyle w:val="NoSpacing"/>
              <w:rPr>
                <w:b/>
                <w:bCs/>
              </w:rPr>
            </w:pPr>
          </w:p>
        </w:tc>
        <w:tc>
          <w:tcPr>
            <w:tcW w:w="6946" w:type="dxa"/>
            <w:tcBorders>
              <w:bottom w:val="single" w:sz="4" w:space="0" w:color="auto"/>
            </w:tcBorders>
            <w:shd w:val="clear" w:color="auto" w:fill="auto"/>
            <w:vAlign w:val="center"/>
          </w:tcPr>
          <w:p w14:paraId="1AA8F91A" w14:textId="77777777" w:rsidR="00ED284B" w:rsidRDefault="00ED284B" w:rsidP="00A17AF9">
            <w:pPr>
              <w:pStyle w:val="NoSpacing"/>
            </w:pPr>
          </w:p>
        </w:tc>
      </w:tr>
    </w:tbl>
    <w:p w14:paraId="449BFC9C" w14:textId="2B5CA32E" w:rsidR="001431DA" w:rsidRDefault="001431DA"/>
    <w:p w14:paraId="1BECE90A" w14:textId="77777777" w:rsidR="00ED284B" w:rsidRDefault="00ED284B"/>
    <w:tbl>
      <w:tblPr>
        <w:tblW w:w="11132" w:type="dxa"/>
        <w:tblInd w:w="-39" w:type="dxa"/>
        <w:tblCellMar>
          <w:top w:w="57" w:type="dxa"/>
          <w:bottom w:w="57" w:type="dxa"/>
        </w:tblCellMar>
        <w:tblLook w:val="04A0" w:firstRow="1" w:lastRow="0" w:firstColumn="1" w:lastColumn="0" w:noHBand="0" w:noVBand="1"/>
      </w:tblPr>
      <w:tblGrid>
        <w:gridCol w:w="39"/>
        <w:gridCol w:w="9789"/>
        <w:gridCol w:w="385"/>
        <w:gridCol w:w="243"/>
        <w:gridCol w:w="222"/>
        <w:gridCol w:w="68"/>
        <w:gridCol w:w="154"/>
        <w:gridCol w:w="232"/>
      </w:tblGrid>
      <w:tr w:rsidR="008D38BF" w14:paraId="2A1124A1" w14:textId="2E7D617F" w:rsidTr="00E2184C">
        <w:trPr>
          <w:gridBefore w:val="1"/>
          <w:wBefore w:w="39" w:type="dxa"/>
        </w:trPr>
        <w:tc>
          <w:tcPr>
            <w:tcW w:w="9789" w:type="dxa"/>
            <w:shd w:val="clear" w:color="auto" w:fill="auto"/>
          </w:tcPr>
          <w:tbl>
            <w:tblPr>
              <w:tblStyle w:val="TableGrid1"/>
              <w:tblW w:w="95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2"/>
              <w:gridCol w:w="2401"/>
              <w:gridCol w:w="4910"/>
            </w:tblGrid>
            <w:tr w:rsidR="001E22CD" w:rsidRPr="001D5725" w14:paraId="046FCC4C" w14:textId="77777777" w:rsidTr="008122A9">
              <w:tc>
                <w:tcPr>
                  <w:tcW w:w="2262" w:type="dxa"/>
                </w:tcPr>
                <w:p w14:paraId="6F8497DC" w14:textId="77777777" w:rsidR="001E22CD" w:rsidRPr="00BE4C2D" w:rsidRDefault="001E22CD" w:rsidP="001E22CD">
                  <w:pPr>
                    <w:tabs>
                      <w:tab w:val="left" w:pos="2268"/>
                      <w:tab w:val="left" w:pos="5103"/>
                    </w:tabs>
                    <w:rPr>
                      <w:lang w:eastAsia="en-GB"/>
                    </w:rPr>
                  </w:pPr>
                  <w:r w:rsidRPr="00BE4C2D">
                    <w:rPr>
                      <w:lang w:eastAsia="en-GB"/>
                    </w:rPr>
                    <w:t>Joint Chair</w:t>
                  </w:r>
                </w:p>
              </w:tc>
              <w:tc>
                <w:tcPr>
                  <w:tcW w:w="2401" w:type="dxa"/>
                </w:tcPr>
                <w:p w14:paraId="4CC2BAD9" w14:textId="77777777" w:rsidR="001E22CD" w:rsidRPr="001D5725" w:rsidRDefault="001E22CD" w:rsidP="001E22CD">
                  <w:pPr>
                    <w:tabs>
                      <w:tab w:val="left" w:pos="2268"/>
                      <w:tab w:val="left" w:pos="5103"/>
                    </w:tabs>
                    <w:rPr>
                      <w:lang w:eastAsia="en-GB"/>
                    </w:rPr>
                  </w:pPr>
                  <w:r w:rsidRPr="001D5725">
                    <w:rPr>
                      <w:lang w:eastAsia="en-GB"/>
                    </w:rPr>
                    <w:t>Laura Anderson</w:t>
                  </w:r>
                </w:p>
              </w:tc>
              <w:tc>
                <w:tcPr>
                  <w:tcW w:w="4910" w:type="dxa"/>
                </w:tcPr>
                <w:p w14:paraId="6586EE45" w14:textId="77777777" w:rsidR="001E22CD" w:rsidRPr="001D5725" w:rsidRDefault="001E22CD" w:rsidP="001E22CD">
                  <w:pPr>
                    <w:tabs>
                      <w:tab w:val="left" w:pos="2268"/>
                      <w:tab w:val="left" w:pos="5103"/>
                    </w:tabs>
                    <w:rPr>
                      <w:i/>
                      <w:lang w:eastAsia="en-GB"/>
                    </w:rPr>
                  </w:pPr>
                  <w:r w:rsidRPr="001D5725">
                    <w:rPr>
                      <w:i/>
                      <w:lang w:eastAsia="en-GB"/>
                    </w:rPr>
                    <w:t>Office of the Scottish Charity Regulator (OSCR)</w:t>
                  </w:r>
                </w:p>
              </w:tc>
            </w:tr>
            <w:tr w:rsidR="001E22CD" w:rsidRPr="001D5725" w14:paraId="2826B73C" w14:textId="77777777" w:rsidTr="008122A9">
              <w:tc>
                <w:tcPr>
                  <w:tcW w:w="2262" w:type="dxa"/>
                </w:tcPr>
                <w:p w14:paraId="4FFD436B" w14:textId="77777777" w:rsidR="001E22CD" w:rsidRPr="00BE4C2D" w:rsidRDefault="001E22CD" w:rsidP="001E22CD">
                  <w:pPr>
                    <w:tabs>
                      <w:tab w:val="left" w:pos="2268"/>
                      <w:tab w:val="left" w:pos="5103"/>
                    </w:tabs>
                    <w:rPr>
                      <w:lang w:eastAsia="en-GB"/>
                    </w:rPr>
                  </w:pPr>
                </w:p>
              </w:tc>
              <w:tc>
                <w:tcPr>
                  <w:tcW w:w="2401" w:type="dxa"/>
                </w:tcPr>
                <w:p w14:paraId="42104879" w14:textId="4DA4B32A" w:rsidR="001E22CD" w:rsidRPr="001D5725" w:rsidRDefault="00765B23" w:rsidP="001E22CD">
                  <w:pPr>
                    <w:tabs>
                      <w:tab w:val="left" w:pos="2268"/>
                      <w:tab w:val="left" w:pos="5103"/>
                    </w:tabs>
                    <w:rPr>
                      <w:lang w:eastAsia="en-GB"/>
                    </w:rPr>
                  </w:pPr>
                  <w:r>
                    <w:rPr>
                      <w:lang w:eastAsia="en-GB"/>
                    </w:rPr>
                    <w:t>Nigel Davies</w:t>
                  </w:r>
                </w:p>
              </w:tc>
              <w:tc>
                <w:tcPr>
                  <w:tcW w:w="4910" w:type="dxa"/>
                </w:tcPr>
                <w:p w14:paraId="05B91351" w14:textId="6CE51D58" w:rsidR="001E22CD" w:rsidRPr="001D5725" w:rsidRDefault="00765B23" w:rsidP="001E22CD">
                  <w:pPr>
                    <w:tabs>
                      <w:tab w:val="left" w:pos="2268"/>
                      <w:tab w:val="left" w:pos="5103"/>
                    </w:tabs>
                    <w:rPr>
                      <w:i/>
                      <w:lang w:eastAsia="en-GB"/>
                    </w:rPr>
                  </w:pPr>
                  <w:r>
                    <w:rPr>
                      <w:i/>
                      <w:lang w:eastAsia="en-GB"/>
                    </w:rPr>
                    <w:t>Charity Commission for England and Wales (CCEW)</w:t>
                  </w:r>
                </w:p>
              </w:tc>
            </w:tr>
            <w:tr w:rsidR="001E22CD" w:rsidRPr="001D5725" w14:paraId="08D26973" w14:textId="77777777" w:rsidTr="008122A9">
              <w:tc>
                <w:tcPr>
                  <w:tcW w:w="2262" w:type="dxa"/>
                </w:tcPr>
                <w:p w14:paraId="70504419" w14:textId="77777777" w:rsidR="001E22CD" w:rsidRPr="00BE4C2D" w:rsidRDefault="001E22CD" w:rsidP="001E22CD">
                  <w:pPr>
                    <w:tabs>
                      <w:tab w:val="left" w:pos="2268"/>
                      <w:tab w:val="left" w:pos="5103"/>
                    </w:tabs>
                    <w:rPr>
                      <w:lang w:eastAsia="en-GB"/>
                    </w:rPr>
                  </w:pPr>
                </w:p>
              </w:tc>
              <w:tc>
                <w:tcPr>
                  <w:tcW w:w="2401" w:type="dxa"/>
                </w:tcPr>
                <w:p w14:paraId="525161FA" w14:textId="447115F3" w:rsidR="001E22CD" w:rsidRPr="001D5725" w:rsidRDefault="001E3385" w:rsidP="001E22CD">
                  <w:pPr>
                    <w:tabs>
                      <w:tab w:val="left" w:pos="2268"/>
                      <w:tab w:val="left" w:pos="5103"/>
                    </w:tabs>
                    <w:rPr>
                      <w:lang w:eastAsia="en-GB"/>
                    </w:rPr>
                  </w:pPr>
                  <w:r>
                    <w:rPr>
                      <w:lang w:eastAsia="en-GB"/>
                    </w:rPr>
                    <w:t>Damien Sands</w:t>
                  </w:r>
                </w:p>
              </w:tc>
              <w:tc>
                <w:tcPr>
                  <w:tcW w:w="4910" w:type="dxa"/>
                </w:tcPr>
                <w:p w14:paraId="17288712" w14:textId="1949C67B" w:rsidR="001E22CD" w:rsidRPr="001D5725" w:rsidRDefault="001E22CD" w:rsidP="001E22CD">
                  <w:pPr>
                    <w:tabs>
                      <w:tab w:val="left" w:pos="2268"/>
                      <w:tab w:val="left" w:pos="5103"/>
                    </w:tabs>
                    <w:rPr>
                      <w:i/>
                      <w:iCs/>
                      <w:lang w:eastAsia="en-GB"/>
                    </w:rPr>
                  </w:pPr>
                  <w:r w:rsidRPr="001D5725">
                    <w:rPr>
                      <w:i/>
                      <w:iCs/>
                      <w:lang w:eastAsia="en-GB"/>
                    </w:rPr>
                    <w:t>Charity Commission for Northern Ireland</w:t>
                  </w:r>
                  <w:r w:rsidR="009602FF">
                    <w:rPr>
                      <w:i/>
                      <w:iCs/>
                      <w:lang w:eastAsia="en-GB"/>
                    </w:rPr>
                    <w:t xml:space="preserve"> </w:t>
                  </w:r>
                  <w:r w:rsidR="009F0381" w:rsidRPr="001D5725">
                    <w:rPr>
                      <w:i/>
                      <w:lang w:eastAsia="en-GB"/>
                    </w:rPr>
                    <w:t>(CCNI)</w:t>
                  </w:r>
                </w:p>
              </w:tc>
            </w:tr>
            <w:tr w:rsidR="001E22CD" w:rsidRPr="001D5725" w14:paraId="3A152EC4" w14:textId="77777777" w:rsidTr="008122A9">
              <w:trPr>
                <w:trHeight w:val="95"/>
              </w:trPr>
              <w:tc>
                <w:tcPr>
                  <w:tcW w:w="2262" w:type="dxa"/>
                </w:tcPr>
                <w:p w14:paraId="578D204E" w14:textId="77777777" w:rsidR="001E22CD" w:rsidRPr="00BE4C2D" w:rsidRDefault="001E22CD" w:rsidP="001E22CD">
                  <w:pPr>
                    <w:tabs>
                      <w:tab w:val="left" w:pos="2268"/>
                      <w:tab w:val="left" w:pos="5103"/>
                    </w:tabs>
                    <w:rPr>
                      <w:lang w:eastAsia="en-GB"/>
                    </w:rPr>
                  </w:pPr>
                </w:p>
              </w:tc>
              <w:tc>
                <w:tcPr>
                  <w:tcW w:w="2401" w:type="dxa"/>
                </w:tcPr>
                <w:p w14:paraId="5C1D41C7" w14:textId="77777777" w:rsidR="001E22CD" w:rsidRPr="001D5725" w:rsidRDefault="001E22CD" w:rsidP="001E22CD">
                  <w:pPr>
                    <w:tabs>
                      <w:tab w:val="left" w:pos="2268"/>
                      <w:tab w:val="left" w:pos="5103"/>
                    </w:tabs>
                    <w:rPr>
                      <w:lang w:eastAsia="en-GB"/>
                    </w:rPr>
                  </w:pPr>
                </w:p>
              </w:tc>
              <w:tc>
                <w:tcPr>
                  <w:tcW w:w="4910" w:type="dxa"/>
                </w:tcPr>
                <w:p w14:paraId="69714948" w14:textId="77777777" w:rsidR="001E22CD" w:rsidRPr="001D5725" w:rsidRDefault="001E22CD" w:rsidP="001E22CD">
                  <w:pPr>
                    <w:tabs>
                      <w:tab w:val="left" w:pos="2268"/>
                      <w:tab w:val="left" w:pos="5103"/>
                    </w:tabs>
                    <w:rPr>
                      <w:i/>
                      <w:lang w:eastAsia="en-GB"/>
                    </w:rPr>
                  </w:pPr>
                  <w:r w:rsidRPr="001D5725">
                    <w:rPr>
                      <w:i/>
                      <w:lang w:eastAsia="en-GB"/>
                    </w:rPr>
                    <w:t xml:space="preserve"> </w:t>
                  </w:r>
                </w:p>
              </w:tc>
            </w:tr>
            <w:tr w:rsidR="001E22CD" w:rsidRPr="001D5725" w14:paraId="14DA274C" w14:textId="77777777" w:rsidTr="008122A9">
              <w:trPr>
                <w:trHeight w:val="95"/>
              </w:trPr>
              <w:tc>
                <w:tcPr>
                  <w:tcW w:w="2262" w:type="dxa"/>
                </w:tcPr>
                <w:p w14:paraId="59AFE659" w14:textId="77777777" w:rsidR="001E22CD" w:rsidRPr="00BE4C2D" w:rsidRDefault="001E22CD" w:rsidP="001E22CD">
                  <w:pPr>
                    <w:tabs>
                      <w:tab w:val="left" w:pos="2268"/>
                      <w:tab w:val="left" w:pos="5103"/>
                    </w:tabs>
                    <w:rPr>
                      <w:lang w:eastAsia="en-GB"/>
                    </w:rPr>
                  </w:pPr>
                  <w:r w:rsidRPr="00BE4C2D">
                    <w:rPr>
                      <w:lang w:eastAsia="en-GB"/>
                    </w:rPr>
                    <w:t>Members present</w:t>
                  </w:r>
                </w:p>
              </w:tc>
              <w:tc>
                <w:tcPr>
                  <w:tcW w:w="2401" w:type="dxa"/>
                </w:tcPr>
                <w:p w14:paraId="4C24D9AB" w14:textId="77777777" w:rsidR="001E22CD" w:rsidRPr="001D5725" w:rsidRDefault="001E22CD" w:rsidP="001E22CD">
                  <w:pPr>
                    <w:tabs>
                      <w:tab w:val="left" w:pos="2268"/>
                      <w:tab w:val="left" w:pos="5103"/>
                    </w:tabs>
                    <w:rPr>
                      <w:lang w:eastAsia="en-GB"/>
                    </w:rPr>
                  </w:pPr>
                  <w:r w:rsidRPr="001D5725">
                    <w:rPr>
                      <w:lang w:eastAsia="en-GB"/>
                    </w:rPr>
                    <w:t>Caron Bradshaw</w:t>
                  </w:r>
                </w:p>
              </w:tc>
              <w:tc>
                <w:tcPr>
                  <w:tcW w:w="4910" w:type="dxa"/>
                </w:tcPr>
                <w:p w14:paraId="3CBF6032" w14:textId="77777777" w:rsidR="001E22CD" w:rsidRPr="001D5725" w:rsidRDefault="001E22CD" w:rsidP="001E22CD">
                  <w:pPr>
                    <w:tabs>
                      <w:tab w:val="left" w:pos="2268"/>
                      <w:tab w:val="left" w:pos="5103"/>
                    </w:tabs>
                    <w:rPr>
                      <w:i/>
                      <w:lang w:eastAsia="en-GB"/>
                    </w:rPr>
                  </w:pPr>
                  <w:r w:rsidRPr="001D5725">
                    <w:rPr>
                      <w:i/>
                      <w:lang w:eastAsia="en-GB"/>
                    </w:rPr>
                    <w:t>Charity Finance Group</w:t>
                  </w:r>
                </w:p>
              </w:tc>
            </w:tr>
            <w:tr w:rsidR="001E22CD" w:rsidRPr="001D5725" w14:paraId="4588D33A" w14:textId="77777777" w:rsidTr="008122A9">
              <w:trPr>
                <w:trHeight w:val="95"/>
              </w:trPr>
              <w:tc>
                <w:tcPr>
                  <w:tcW w:w="2262" w:type="dxa"/>
                </w:tcPr>
                <w:p w14:paraId="10224CE1" w14:textId="77777777" w:rsidR="001E22CD" w:rsidRPr="00BE4C2D" w:rsidRDefault="001E22CD" w:rsidP="001E22CD">
                  <w:pPr>
                    <w:tabs>
                      <w:tab w:val="left" w:pos="2268"/>
                      <w:tab w:val="left" w:pos="5103"/>
                    </w:tabs>
                    <w:rPr>
                      <w:lang w:eastAsia="en-GB"/>
                    </w:rPr>
                  </w:pPr>
                </w:p>
              </w:tc>
              <w:tc>
                <w:tcPr>
                  <w:tcW w:w="2401" w:type="dxa"/>
                </w:tcPr>
                <w:p w14:paraId="0EEC050B" w14:textId="77777777" w:rsidR="001E22CD" w:rsidRPr="001D5725" w:rsidRDefault="001E22CD" w:rsidP="001E22CD">
                  <w:pPr>
                    <w:tabs>
                      <w:tab w:val="left" w:pos="2268"/>
                      <w:tab w:val="left" w:pos="5103"/>
                    </w:tabs>
                    <w:rPr>
                      <w:lang w:eastAsia="en-GB"/>
                    </w:rPr>
                  </w:pPr>
                  <w:r w:rsidRPr="001D5725">
                    <w:rPr>
                      <w:lang w:eastAsia="en-GB"/>
                    </w:rPr>
                    <w:t>Michael Brougham</w:t>
                  </w:r>
                </w:p>
              </w:tc>
              <w:tc>
                <w:tcPr>
                  <w:tcW w:w="4910" w:type="dxa"/>
                </w:tcPr>
                <w:p w14:paraId="0F8A3E68" w14:textId="77777777" w:rsidR="001E22CD" w:rsidRPr="001D5725" w:rsidRDefault="001E22CD" w:rsidP="001E22CD">
                  <w:pPr>
                    <w:tabs>
                      <w:tab w:val="left" w:pos="2268"/>
                      <w:tab w:val="left" w:pos="5103"/>
                    </w:tabs>
                    <w:rPr>
                      <w:i/>
                      <w:lang w:eastAsia="en-GB"/>
                    </w:rPr>
                  </w:pPr>
                  <w:r w:rsidRPr="001D5725">
                    <w:rPr>
                      <w:i/>
                      <w:lang w:eastAsia="en-GB"/>
                    </w:rPr>
                    <w:t>Independent Examiner</w:t>
                  </w:r>
                </w:p>
              </w:tc>
            </w:tr>
            <w:tr w:rsidR="00765B23" w:rsidRPr="001D5725" w14:paraId="2F226038" w14:textId="77777777" w:rsidTr="008122A9">
              <w:tc>
                <w:tcPr>
                  <w:tcW w:w="2262" w:type="dxa"/>
                </w:tcPr>
                <w:p w14:paraId="53402726" w14:textId="77777777" w:rsidR="00765B23" w:rsidRPr="00BE4C2D" w:rsidRDefault="00765B23" w:rsidP="00765B23">
                  <w:pPr>
                    <w:rPr>
                      <w:i/>
                      <w:lang w:eastAsia="en-GB"/>
                    </w:rPr>
                  </w:pPr>
                </w:p>
              </w:tc>
              <w:tc>
                <w:tcPr>
                  <w:tcW w:w="2401" w:type="dxa"/>
                </w:tcPr>
                <w:p w14:paraId="5F2AADE0" w14:textId="11D982FA" w:rsidR="00765B23" w:rsidRPr="001D5725" w:rsidRDefault="00765B23" w:rsidP="00765B23">
                  <w:pPr>
                    <w:rPr>
                      <w:lang w:eastAsia="en-GB"/>
                    </w:rPr>
                  </w:pPr>
                  <w:r>
                    <w:rPr>
                      <w:lang w:eastAsia="en-GB"/>
                    </w:rPr>
                    <w:t>Daniel Chan</w:t>
                  </w:r>
                </w:p>
              </w:tc>
              <w:tc>
                <w:tcPr>
                  <w:tcW w:w="4910" w:type="dxa"/>
                </w:tcPr>
                <w:p w14:paraId="035D58C0" w14:textId="60827DD8" w:rsidR="00765B23" w:rsidRPr="001D5725" w:rsidRDefault="00765B23" w:rsidP="00765B23">
                  <w:pPr>
                    <w:rPr>
                      <w:i/>
                      <w:lang w:eastAsia="en-GB"/>
                    </w:rPr>
                  </w:pPr>
                  <w:r>
                    <w:rPr>
                      <w:i/>
                      <w:lang w:eastAsia="en-GB"/>
                    </w:rPr>
                    <w:t>PwC</w:t>
                  </w:r>
                </w:p>
              </w:tc>
            </w:tr>
            <w:tr w:rsidR="001E3385" w:rsidRPr="001D5725" w14:paraId="264F6A70" w14:textId="77777777" w:rsidTr="008122A9">
              <w:tc>
                <w:tcPr>
                  <w:tcW w:w="2262" w:type="dxa"/>
                </w:tcPr>
                <w:p w14:paraId="0E368FE0" w14:textId="77777777" w:rsidR="001E3385" w:rsidRPr="00BE4C2D" w:rsidRDefault="001E3385" w:rsidP="00765B23">
                  <w:pPr>
                    <w:rPr>
                      <w:i/>
                      <w:lang w:eastAsia="en-GB"/>
                    </w:rPr>
                  </w:pPr>
                </w:p>
              </w:tc>
              <w:tc>
                <w:tcPr>
                  <w:tcW w:w="2401" w:type="dxa"/>
                </w:tcPr>
                <w:p w14:paraId="5E3A48B5" w14:textId="33AEC9E0" w:rsidR="001E3385" w:rsidRDefault="001E3385" w:rsidP="00765B23">
                  <w:pPr>
                    <w:rPr>
                      <w:lang w:eastAsia="en-GB"/>
                    </w:rPr>
                  </w:pPr>
                  <w:r>
                    <w:rPr>
                      <w:lang w:eastAsia="en-GB"/>
                    </w:rPr>
                    <w:t>Tony Clark</w:t>
                  </w:r>
                </w:p>
              </w:tc>
              <w:tc>
                <w:tcPr>
                  <w:tcW w:w="4910" w:type="dxa"/>
                </w:tcPr>
                <w:p w14:paraId="7D043AC4" w14:textId="5DFC8036" w:rsidR="001E3385" w:rsidRDefault="001E3385" w:rsidP="00765B23">
                  <w:pPr>
                    <w:rPr>
                      <w:i/>
                      <w:lang w:eastAsia="en-GB"/>
                    </w:rPr>
                  </w:pPr>
                  <w:r>
                    <w:rPr>
                      <w:i/>
                      <w:lang w:eastAsia="en-GB"/>
                    </w:rPr>
                    <w:t>Clark &amp; Co Accountants</w:t>
                  </w:r>
                </w:p>
              </w:tc>
            </w:tr>
            <w:tr w:rsidR="00765B23" w:rsidRPr="001D5725" w14:paraId="4AA21C49" w14:textId="77777777" w:rsidTr="008122A9">
              <w:tc>
                <w:tcPr>
                  <w:tcW w:w="2262" w:type="dxa"/>
                </w:tcPr>
                <w:p w14:paraId="54D20D19" w14:textId="77777777" w:rsidR="00765B23" w:rsidRPr="00BE4C2D" w:rsidRDefault="00765B23" w:rsidP="00765B23">
                  <w:pPr>
                    <w:rPr>
                      <w:i/>
                      <w:lang w:eastAsia="en-GB"/>
                    </w:rPr>
                  </w:pPr>
                </w:p>
              </w:tc>
              <w:tc>
                <w:tcPr>
                  <w:tcW w:w="2401" w:type="dxa"/>
                </w:tcPr>
                <w:p w14:paraId="194D603C" w14:textId="77777777" w:rsidR="00765B23" w:rsidRPr="001D5725" w:rsidRDefault="00765B23" w:rsidP="00765B23">
                  <w:pPr>
                    <w:tabs>
                      <w:tab w:val="left" w:pos="2268"/>
                      <w:tab w:val="left" w:pos="5103"/>
                    </w:tabs>
                    <w:rPr>
                      <w:lang w:eastAsia="en-GB"/>
                    </w:rPr>
                  </w:pPr>
                  <w:proofErr w:type="spellStart"/>
                  <w:r w:rsidRPr="001D5725">
                    <w:rPr>
                      <w:lang w:eastAsia="en-GB"/>
                    </w:rPr>
                    <w:t>Diarmaid</w:t>
                  </w:r>
                  <w:proofErr w:type="spellEnd"/>
                  <w:r w:rsidRPr="001D5725">
                    <w:rPr>
                      <w:lang w:eastAsia="en-GB"/>
                    </w:rPr>
                    <w:t xml:space="preserve"> Ó </w:t>
                  </w:r>
                  <w:proofErr w:type="spellStart"/>
                  <w:r w:rsidRPr="001D5725">
                    <w:rPr>
                      <w:lang w:eastAsia="en-GB"/>
                    </w:rPr>
                    <w:t>Corrbuí</w:t>
                  </w:r>
                  <w:proofErr w:type="spellEnd"/>
                </w:p>
              </w:tc>
              <w:tc>
                <w:tcPr>
                  <w:tcW w:w="4910" w:type="dxa"/>
                </w:tcPr>
                <w:p w14:paraId="4871A3B4" w14:textId="77777777" w:rsidR="00765B23" w:rsidRPr="001D5725" w:rsidRDefault="00765B23" w:rsidP="00765B23">
                  <w:pPr>
                    <w:rPr>
                      <w:i/>
                      <w:lang w:eastAsia="en-GB"/>
                    </w:rPr>
                  </w:pPr>
                  <w:r w:rsidRPr="001D5725">
                    <w:rPr>
                      <w:i/>
                      <w:lang w:eastAsia="en-GB"/>
                    </w:rPr>
                    <w:t>Carmichael Centre for Voluntary Groups</w:t>
                  </w:r>
                </w:p>
              </w:tc>
            </w:tr>
            <w:tr w:rsidR="00765B23" w:rsidRPr="001D5725" w14:paraId="6B0725CB" w14:textId="77777777" w:rsidTr="008122A9">
              <w:tc>
                <w:tcPr>
                  <w:tcW w:w="2262" w:type="dxa"/>
                </w:tcPr>
                <w:p w14:paraId="48240BF0" w14:textId="77777777" w:rsidR="00765B23" w:rsidRPr="00BE4C2D" w:rsidRDefault="00765B23" w:rsidP="00765B23">
                  <w:pPr>
                    <w:rPr>
                      <w:i/>
                      <w:lang w:eastAsia="en-GB"/>
                    </w:rPr>
                  </w:pPr>
                </w:p>
              </w:tc>
              <w:tc>
                <w:tcPr>
                  <w:tcW w:w="2401" w:type="dxa"/>
                </w:tcPr>
                <w:p w14:paraId="29EAD3D9" w14:textId="77777777" w:rsidR="00765B23" w:rsidRPr="001D5725" w:rsidRDefault="00765B23" w:rsidP="00765B23">
                  <w:pPr>
                    <w:rPr>
                      <w:lang w:eastAsia="en-GB"/>
                    </w:rPr>
                  </w:pPr>
                  <w:r w:rsidRPr="001D5725">
                    <w:rPr>
                      <w:lang w:eastAsia="en-GB"/>
                    </w:rPr>
                    <w:t>Noel Hyndman</w:t>
                  </w:r>
                </w:p>
              </w:tc>
              <w:tc>
                <w:tcPr>
                  <w:tcW w:w="4910" w:type="dxa"/>
                </w:tcPr>
                <w:p w14:paraId="30CE079F" w14:textId="77777777" w:rsidR="00765B23" w:rsidRPr="001D5725" w:rsidRDefault="00765B23" w:rsidP="00765B23">
                  <w:pPr>
                    <w:rPr>
                      <w:i/>
                      <w:lang w:eastAsia="en-GB"/>
                    </w:rPr>
                  </w:pPr>
                  <w:r w:rsidRPr="001D5725">
                    <w:rPr>
                      <w:i/>
                      <w:lang w:eastAsia="en-GB"/>
                    </w:rPr>
                    <w:t>Queen’s University Belfast</w:t>
                  </w:r>
                </w:p>
              </w:tc>
            </w:tr>
            <w:tr w:rsidR="00765B23" w:rsidRPr="001D5725" w14:paraId="27D2BAB3" w14:textId="77777777" w:rsidTr="008122A9">
              <w:tc>
                <w:tcPr>
                  <w:tcW w:w="2262" w:type="dxa"/>
                </w:tcPr>
                <w:p w14:paraId="0C41BE15" w14:textId="77777777" w:rsidR="00765B23" w:rsidRPr="00BE4C2D" w:rsidRDefault="00765B23" w:rsidP="00765B23">
                  <w:pPr>
                    <w:rPr>
                      <w:i/>
                      <w:lang w:eastAsia="en-GB"/>
                    </w:rPr>
                  </w:pPr>
                </w:p>
              </w:tc>
              <w:tc>
                <w:tcPr>
                  <w:tcW w:w="2401" w:type="dxa"/>
                </w:tcPr>
                <w:p w14:paraId="5125DD4E" w14:textId="77777777" w:rsidR="00765B23" w:rsidRPr="001D5725" w:rsidRDefault="00765B23" w:rsidP="00765B23">
                  <w:pPr>
                    <w:rPr>
                      <w:lang w:eastAsia="en-GB"/>
                    </w:rPr>
                  </w:pPr>
                  <w:r w:rsidRPr="001D5725">
                    <w:t>Gareth Hughes</w:t>
                  </w:r>
                </w:p>
              </w:tc>
              <w:tc>
                <w:tcPr>
                  <w:tcW w:w="4910" w:type="dxa"/>
                </w:tcPr>
                <w:p w14:paraId="34A7E396" w14:textId="77777777" w:rsidR="00765B23" w:rsidRPr="001D5725" w:rsidRDefault="00765B23" w:rsidP="00765B23">
                  <w:pPr>
                    <w:rPr>
                      <w:i/>
                      <w:lang w:eastAsia="en-GB"/>
                    </w:rPr>
                  </w:pPr>
                  <w:bookmarkStart w:id="0" w:name="_Hlk64445570"/>
                  <w:r w:rsidRPr="001D5725">
                    <w:rPr>
                      <w:i/>
                      <w:lang w:eastAsia="en-GB"/>
                    </w:rPr>
                    <w:t>Diocese of Down and Connor</w:t>
                  </w:r>
                  <w:bookmarkEnd w:id="0"/>
                </w:p>
              </w:tc>
            </w:tr>
            <w:tr w:rsidR="00765B23" w:rsidRPr="001D5725" w14:paraId="40E0BE53" w14:textId="77777777" w:rsidTr="008122A9">
              <w:tc>
                <w:tcPr>
                  <w:tcW w:w="2262" w:type="dxa"/>
                </w:tcPr>
                <w:p w14:paraId="5A512A43" w14:textId="77777777" w:rsidR="00765B23" w:rsidRPr="00BE4C2D" w:rsidRDefault="00765B23" w:rsidP="00765B23">
                  <w:pPr>
                    <w:rPr>
                      <w:i/>
                      <w:lang w:eastAsia="en-GB"/>
                    </w:rPr>
                  </w:pPr>
                </w:p>
              </w:tc>
              <w:tc>
                <w:tcPr>
                  <w:tcW w:w="2401" w:type="dxa"/>
                </w:tcPr>
                <w:p w14:paraId="76CF1FE2" w14:textId="77777777" w:rsidR="00765B23" w:rsidRPr="001D5725" w:rsidRDefault="00765B23" w:rsidP="00765B23">
                  <w:pPr>
                    <w:rPr>
                      <w:lang w:eastAsia="en-GB"/>
                    </w:rPr>
                  </w:pPr>
                  <w:r w:rsidRPr="001D5725">
                    <w:rPr>
                      <w:lang w:eastAsia="en-GB"/>
                    </w:rPr>
                    <w:t>Joanna Pittman</w:t>
                  </w:r>
                </w:p>
              </w:tc>
              <w:tc>
                <w:tcPr>
                  <w:tcW w:w="4910" w:type="dxa"/>
                </w:tcPr>
                <w:p w14:paraId="03070F40" w14:textId="77777777" w:rsidR="00765B23" w:rsidRPr="001D5725" w:rsidRDefault="00765B23" w:rsidP="00765B23">
                  <w:pPr>
                    <w:rPr>
                      <w:i/>
                      <w:lang w:eastAsia="en-GB"/>
                    </w:rPr>
                  </w:pPr>
                  <w:r w:rsidRPr="001D5725">
                    <w:rPr>
                      <w:i/>
                      <w:lang w:eastAsia="en-GB"/>
                    </w:rPr>
                    <w:t>Sayer Vincent</w:t>
                  </w:r>
                </w:p>
              </w:tc>
            </w:tr>
            <w:tr w:rsidR="00765B23" w:rsidRPr="001D5725" w14:paraId="7BDCC0EE" w14:textId="77777777" w:rsidTr="008122A9">
              <w:tc>
                <w:tcPr>
                  <w:tcW w:w="2262" w:type="dxa"/>
                </w:tcPr>
                <w:p w14:paraId="08F25937" w14:textId="77777777" w:rsidR="00765B23" w:rsidRPr="00BE4C2D" w:rsidRDefault="00765B23" w:rsidP="00765B23">
                  <w:pPr>
                    <w:rPr>
                      <w:i/>
                      <w:lang w:eastAsia="en-GB"/>
                    </w:rPr>
                  </w:pPr>
                </w:p>
              </w:tc>
              <w:tc>
                <w:tcPr>
                  <w:tcW w:w="2401" w:type="dxa"/>
                </w:tcPr>
                <w:p w14:paraId="54553C0A" w14:textId="77777777" w:rsidR="00765B23" w:rsidRPr="001D5725" w:rsidRDefault="00765B23" w:rsidP="00765B23">
                  <w:pPr>
                    <w:rPr>
                      <w:lang w:eastAsia="en-GB"/>
                    </w:rPr>
                  </w:pPr>
                  <w:r w:rsidRPr="000C65A2">
                    <w:rPr>
                      <w:lang w:eastAsia="en-GB"/>
                    </w:rPr>
                    <w:t>Carol Rudge</w:t>
                  </w:r>
                </w:p>
              </w:tc>
              <w:tc>
                <w:tcPr>
                  <w:tcW w:w="4910" w:type="dxa"/>
                </w:tcPr>
                <w:p w14:paraId="64ED3A26" w14:textId="77777777" w:rsidR="00765B23" w:rsidRPr="001D5725" w:rsidRDefault="00765B23" w:rsidP="00765B23">
                  <w:pPr>
                    <w:rPr>
                      <w:i/>
                      <w:lang w:eastAsia="en-GB"/>
                    </w:rPr>
                  </w:pPr>
                  <w:r w:rsidRPr="00BE4C2D">
                    <w:rPr>
                      <w:i/>
                      <w:lang w:eastAsia="en-GB"/>
                    </w:rPr>
                    <w:t>Grant Thornton</w:t>
                  </w:r>
                </w:p>
              </w:tc>
            </w:tr>
            <w:tr w:rsidR="00765B23" w:rsidRPr="001D5725" w14:paraId="7E0584A2" w14:textId="77777777" w:rsidTr="008122A9">
              <w:tc>
                <w:tcPr>
                  <w:tcW w:w="2262" w:type="dxa"/>
                </w:tcPr>
                <w:p w14:paraId="6D07D985" w14:textId="77777777" w:rsidR="00765B23" w:rsidRPr="00BE4C2D" w:rsidRDefault="00765B23" w:rsidP="00765B23">
                  <w:pPr>
                    <w:rPr>
                      <w:i/>
                      <w:lang w:eastAsia="en-GB"/>
                    </w:rPr>
                  </w:pPr>
                </w:p>
              </w:tc>
              <w:tc>
                <w:tcPr>
                  <w:tcW w:w="2401" w:type="dxa"/>
                </w:tcPr>
                <w:p w14:paraId="6130A446" w14:textId="707E9767" w:rsidR="00765B23" w:rsidRPr="000C65A2" w:rsidRDefault="00765B23" w:rsidP="00765B23">
                  <w:pPr>
                    <w:rPr>
                      <w:lang w:eastAsia="en-GB"/>
                    </w:rPr>
                  </w:pPr>
                  <w:r>
                    <w:rPr>
                      <w:lang w:eastAsia="en-GB"/>
                    </w:rPr>
                    <w:t>Max Rutherford</w:t>
                  </w:r>
                </w:p>
              </w:tc>
              <w:tc>
                <w:tcPr>
                  <w:tcW w:w="4910" w:type="dxa"/>
                </w:tcPr>
                <w:p w14:paraId="221AED12" w14:textId="01B59AA8" w:rsidR="00765B23" w:rsidRPr="00BE4C2D" w:rsidRDefault="00765B23" w:rsidP="00765B23">
                  <w:pPr>
                    <w:rPr>
                      <w:i/>
                      <w:lang w:eastAsia="en-GB"/>
                    </w:rPr>
                  </w:pPr>
                  <w:r>
                    <w:rPr>
                      <w:i/>
                      <w:lang w:eastAsia="en-GB"/>
                    </w:rPr>
                    <w:t>Association of Charitable Foundations</w:t>
                  </w:r>
                </w:p>
              </w:tc>
            </w:tr>
            <w:tr w:rsidR="00765B23" w:rsidRPr="00BE4C2D" w14:paraId="22310E18" w14:textId="77777777" w:rsidTr="008122A9">
              <w:tc>
                <w:tcPr>
                  <w:tcW w:w="2262" w:type="dxa"/>
                </w:tcPr>
                <w:p w14:paraId="5EE277B3" w14:textId="77777777" w:rsidR="00765B23" w:rsidRPr="00BE4C2D" w:rsidRDefault="00765B23" w:rsidP="00765B23">
                  <w:pPr>
                    <w:rPr>
                      <w:i/>
                      <w:lang w:eastAsia="en-GB"/>
                    </w:rPr>
                  </w:pPr>
                </w:p>
              </w:tc>
              <w:tc>
                <w:tcPr>
                  <w:tcW w:w="2401" w:type="dxa"/>
                  <w:shd w:val="clear" w:color="auto" w:fill="auto"/>
                </w:tcPr>
                <w:p w14:paraId="3116F701" w14:textId="77777777" w:rsidR="00765B23" w:rsidRPr="000C65A2" w:rsidRDefault="00765B23" w:rsidP="00765B23">
                  <w:pPr>
                    <w:rPr>
                      <w:lang w:eastAsia="en-GB"/>
                    </w:rPr>
                  </w:pPr>
                  <w:r w:rsidRPr="000C65A2">
                    <w:rPr>
                      <w:lang w:eastAsia="en-GB"/>
                    </w:rPr>
                    <w:t>Jenny Simpson</w:t>
                  </w:r>
                </w:p>
              </w:tc>
              <w:tc>
                <w:tcPr>
                  <w:tcW w:w="4910" w:type="dxa"/>
                  <w:shd w:val="clear" w:color="auto" w:fill="auto"/>
                </w:tcPr>
                <w:p w14:paraId="590EA732" w14:textId="77777777" w:rsidR="00765B23" w:rsidRPr="00BE4C2D" w:rsidRDefault="00765B23" w:rsidP="00765B23">
                  <w:pPr>
                    <w:rPr>
                      <w:i/>
                      <w:lang w:eastAsia="en-GB"/>
                    </w:rPr>
                  </w:pPr>
                  <w:r>
                    <w:rPr>
                      <w:i/>
                      <w:lang w:eastAsia="en-GB"/>
                    </w:rPr>
                    <w:t>Wylie and Bisset LLP</w:t>
                  </w:r>
                </w:p>
              </w:tc>
            </w:tr>
            <w:tr w:rsidR="00765B23" w:rsidRPr="001D5725" w14:paraId="1029AC21" w14:textId="77777777" w:rsidTr="008122A9">
              <w:tc>
                <w:tcPr>
                  <w:tcW w:w="2262" w:type="dxa"/>
                </w:tcPr>
                <w:p w14:paraId="4EF67BE5" w14:textId="77777777" w:rsidR="00765B23" w:rsidRPr="00BE4C2D" w:rsidRDefault="00765B23" w:rsidP="00765B23">
                  <w:pPr>
                    <w:tabs>
                      <w:tab w:val="left" w:pos="2268"/>
                      <w:tab w:val="left" w:pos="5103"/>
                    </w:tabs>
                    <w:rPr>
                      <w:i/>
                      <w:lang w:eastAsia="en-GB"/>
                    </w:rPr>
                  </w:pPr>
                </w:p>
              </w:tc>
              <w:tc>
                <w:tcPr>
                  <w:tcW w:w="2401" w:type="dxa"/>
                </w:tcPr>
                <w:p w14:paraId="60FBDD7A" w14:textId="77777777" w:rsidR="00765B23" w:rsidRPr="001D5725" w:rsidRDefault="00765B23" w:rsidP="00765B23">
                  <w:pPr>
                    <w:tabs>
                      <w:tab w:val="left" w:pos="2268"/>
                      <w:tab w:val="left" w:pos="5103"/>
                    </w:tabs>
                    <w:rPr>
                      <w:lang w:eastAsia="en-GB"/>
                    </w:rPr>
                  </w:pPr>
                  <w:r w:rsidRPr="001D5725">
                    <w:rPr>
                      <w:lang w:eastAsia="en-GB"/>
                    </w:rPr>
                    <w:t>Neal Trup</w:t>
                  </w:r>
                </w:p>
              </w:tc>
              <w:tc>
                <w:tcPr>
                  <w:tcW w:w="4910" w:type="dxa"/>
                </w:tcPr>
                <w:p w14:paraId="396C70A1" w14:textId="77777777" w:rsidR="00765B23" w:rsidRPr="001D5725" w:rsidRDefault="00765B23" w:rsidP="00765B23">
                  <w:pPr>
                    <w:tabs>
                      <w:tab w:val="left" w:pos="2268"/>
                      <w:tab w:val="left" w:pos="5103"/>
                    </w:tabs>
                    <w:rPr>
                      <w:i/>
                      <w:lang w:eastAsia="en-GB"/>
                    </w:rPr>
                  </w:pPr>
                  <w:r w:rsidRPr="001D5725">
                    <w:rPr>
                      <w:i/>
                      <w:lang w:eastAsia="en-GB"/>
                    </w:rPr>
                    <w:t>Neal Howard Limited</w:t>
                  </w:r>
                </w:p>
              </w:tc>
            </w:tr>
            <w:tr w:rsidR="00765B23" w:rsidRPr="001D5725" w14:paraId="09745A23" w14:textId="77777777" w:rsidTr="008122A9">
              <w:tc>
                <w:tcPr>
                  <w:tcW w:w="2262" w:type="dxa"/>
                </w:tcPr>
                <w:p w14:paraId="29BD2716" w14:textId="77777777" w:rsidR="00765B23" w:rsidRPr="00BE4C2D" w:rsidRDefault="00765B23" w:rsidP="00765B23">
                  <w:pPr>
                    <w:tabs>
                      <w:tab w:val="left" w:pos="2268"/>
                      <w:tab w:val="left" w:pos="5103"/>
                    </w:tabs>
                    <w:rPr>
                      <w:lang w:eastAsia="en-GB"/>
                    </w:rPr>
                  </w:pPr>
                </w:p>
              </w:tc>
              <w:tc>
                <w:tcPr>
                  <w:tcW w:w="2401" w:type="dxa"/>
                </w:tcPr>
                <w:p w14:paraId="58913A34" w14:textId="77777777" w:rsidR="00765B23" w:rsidRPr="001D5725" w:rsidRDefault="00765B23" w:rsidP="00765B23">
                  <w:pPr>
                    <w:tabs>
                      <w:tab w:val="left" w:pos="2268"/>
                      <w:tab w:val="left" w:pos="5103"/>
                    </w:tabs>
                    <w:rPr>
                      <w:lang w:eastAsia="en-GB"/>
                    </w:rPr>
                  </w:pPr>
                </w:p>
              </w:tc>
              <w:tc>
                <w:tcPr>
                  <w:tcW w:w="4910" w:type="dxa"/>
                </w:tcPr>
                <w:p w14:paraId="5672B41B" w14:textId="77777777" w:rsidR="00765B23" w:rsidRPr="001D5725" w:rsidRDefault="00765B23" w:rsidP="00765B23">
                  <w:pPr>
                    <w:tabs>
                      <w:tab w:val="left" w:pos="2268"/>
                      <w:tab w:val="left" w:pos="5103"/>
                    </w:tabs>
                    <w:rPr>
                      <w:i/>
                      <w:lang w:eastAsia="en-GB"/>
                    </w:rPr>
                  </w:pPr>
                </w:p>
              </w:tc>
            </w:tr>
            <w:tr w:rsidR="00765B23" w:rsidRPr="001D5725" w14:paraId="6BDF4E66" w14:textId="77777777" w:rsidTr="008122A9">
              <w:tc>
                <w:tcPr>
                  <w:tcW w:w="2262" w:type="dxa"/>
                </w:tcPr>
                <w:p w14:paraId="4FB29A86" w14:textId="77777777" w:rsidR="00765B23" w:rsidRPr="00BE4C2D" w:rsidRDefault="00765B23" w:rsidP="00765B23">
                  <w:pPr>
                    <w:tabs>
                      <w:tab w:val="left" w:pos="2268"/>
                      <w:tab w:val="left" w:pos="5103"/>
                    </w:tabs>
                    <w:rPr>
                      <w:lang w:eastAsia="en-GB"/>
                    </w:rPr>
                  </w:pPr>
                  <w:r w:rsidRPr="00BE4C2D">
                    <w:rPr>
                      <w:lang w:eastAsia="en-GB"/>
                    </w:rPr>
                    <w:t>In attendance</w:t>
                  </w:r>
                </w:p>
              </w:tc>
              <w:tc>
                <w:tcPr>
                  <w:tcW w:w="2401" w:type="dxa"/>
                </w:tcPr>
                <w:p w14:paraId="11DEEE29" w14:textId="515D3E04" w:rsidR="00765B23" w:rsidRPr="001D5725" w:rsidRDefault="00765B23" w:rsidP="00765B23">
                  <w:pPr>
                    <w:tabs>
                      <w:tab w:val="left" w:pos="2268"/>
                      <w:tab w:val="left" w:pos="5103"/>
                    </w:tabs>
                    <w:rPr>
                      <w:lang w:eastAsia="en-GB"/>
                    </w:rPr>
                  </w:pPr>
                  <w:r w:rsidRPr="001D5725">
                    <w:rPr>
                      <w:lang w:eastAsia="en-GB"/>
                    </w:rPr>
                    <w:t>Milan Palmer</w:t>
                  </w:r>
                  <w:r w:rsidRPr="001D5725" w:rsidDel="00BF03FB">
                    <w:rPr>
                      <w:lang w:eastAsia="en-GB"/>
                    </w:rPr>
                    <w:t xml:space="preserve"> </w:t>
                  </w:r>
                </w:p>
              </w:tc>
              <w:tc>
                <w:tcPr>
                  <w:tcW w:w="4910" w:type="dxa"/>
                </w:tcPr>
                <w:p w14:paraId="30634874" w14:textId="01210C7A" w:rsidR="00765B23" w:rsidRPr="001D5725" w:rsidRDefault="00765B23" w:rsidP="00765B23">
                  <w:pPr>
                    <w:tabs>
                      <w:tab w:val="left" w:pos="2268"/>
                      <w:tab w:val="left" w:pos="5103"/>
                    </w:tabs>
                    <w:rPr>
                      <w:i/>
                      <w:lang w:eastAsia="en-GB"/>
                    </w:rPr>
                  </w:pPr>
                  <w:r w:rsidRPr="001D5725">
                    <w:rPr>
                      <w:i/>
                      <w:lang w:eastAsia="en-GB"/>
                    </w:rPr>
                    <w:t xml:space="preserve">CIPFA, Secretariat to the SORP Committee </w:t>
                  </w:r>
                </w:p>
              </w:tc>
            </w:tr>
            <w:tr w:rsidR="009602FF" w:rsidRPr="001D5725" w14:paraId="7F6C54FE" w14:textId="77777777" w:rsidTr="008122A9">
              <w:tc>
                <w:tcPr>
                  <w:tcW w:w="2262" w:type="dxa"/>
                </w:tcPr>
                <w:p w14:paraId="70CF8B19" w14:textId="77777777" w:rsidR="009602FF" w:rsidRPr="00BE4C2D" w:rsidRDefault="009602FF" w:rsidP="009602FF">
                  <w:pPr>
                    <w:tabs>
                      <w:tab w:val="left" w:pos="2268"/>
                      <w:tab w:val="left" w:pos="5103"/>
                    </w:tabs>
                    <w:rPr>
                      <w:rFonts w:ascii="Times New Roman" w:hAnsi="Times New Roman"/>
                      <w:lang w:eastAsia="en-GB"/>
                    </w:rPr>
                  </w:pPr>
                </w:p>
              </w:tc>
              <w:tc>
                <w:tcPr>
                  <w:tcW w:w="2401" w:type="dxa"/>
                </w:tcPr>
                <w:p w14:paraId="65183B96" w14:textId="12F0327D" w:rsidR="009602FF" w:rsidRPr="001D5725" w:rsidRDefault="009602FF" w:rsidP="009602FF">
                  <w:pPr>
                    <w:tabs>
                      <w:tab w:val="left" w:pos="2268"/>
                      <w:tab w:val="left" w:pos="5103"/>
                    </w:tabs>
                    <w:rPr>
                      <w:lang w:eastAsia="en-GB"/>
                    </w:rPr>
                  </w:pPr>
                  <w:r w:rsidRPr="00BE4C2D">
                    <w:rPr>
                      <w:lang w:eastAsia="en-GB"/>
                    </w:rPr>
                    <w:t>Gillian McKay</w:t>
                  </w:r>
                </w:p>
              </w:tc>
              <w:tc>
                <w:tcPr>
                  <w:tcW w:w="4910" w:type="dxa"/>
                </w:tcPr>
                <w:p w14:paraId="6DB2CCEB" w14:textId="23CD98E3" w:rsidR="009602FF" w:rsidRPr="001D5725" w:rsidRDefault="009602FF" w:rsidP="009602FF">
                  <w:pPr>
                    <w:tabs>
                      <w:tab w:val="left" w:pos="2268"/>
                      <w:tab w:val="left" w:pos="5103"/>
                    </w:tabs>
                    <w:rPr>
                      <w:i/>
                      <w:lang w:eastAsia="en-GB"/>
                    </w:rPr>
                  </w:pPr>
                  <w:r w:rsidRPr="00BE4C2D">
                    <w:rPr>
                      <w:i/>
                      <w:lang w:eastAsia="en-GB"/>
                    </w:rPr>
                    <w:t>CIPFA, Secretariat to the SORP Committee</w:t>
                  </w:r>
                </w:p>
              </w:tc>
            </w:tr>
            <w:tr w:rsidR="009602FF" w:rsidRPr="001D5725" w14:paraId="341694E3" w14:textId="77777777" w:rsidTr="008122A9">
              <w:tc>
                <w:tcPr>
                  <w:tcW w:w="2262" w:type="dxa"/>
                </w:tcPr>
                <w:p w14:paraId="7A059DC3" w14:textId="77777777" w:rsidR="009602FF" w:rsidRPr="00BE4C2D" w:rsidRDefault="009602FF" w:rsidP="009602FF">
                  <w:pPr>
                    <w:tabs>
                      <w:tab w:val="left" w:pos="2268"/>
                      <w:tab w:val="left" w:pos="5103"/>
                    </w:tabs>
                    <w:rPr>
                      <w:rFonts w:ascii="Times New Roman" w:hAnsi="Times New Roman"/>
                      <w:lang w:eastAsia="en-GB"/>
                    </w:rPr>
                  </w:pPr>
                </w:p>
              </w:tc>
              <w:tc>
                <w:tcPr>
                  <w:tcW w:w="2401" w:type="dxa"/>
                </w:tcPr>
                <w:p w14:paraId="44824E08" w14:textId="216F0E24" w:rsidR="009602FF" w:rsidRPr="001D5725" w:rsidRDefault="009602FF" w:rsidP="009602FF">
                  <w:pPr>
                    <w:tabs>
                      <w:tab w:val="left" w:pos="2268"/>
                      <w:tab w:val="left" w:pos="5103"/>
                    </w:tabs>
                    <w:rPr>
                      <w:lang w:eastAsia="en-GB"/>
                    </w:rPr>
                  </w:pPr>
                  <w:r w:rsidRPr="00BE4C2D">
                    <w:rPr>
                      <w:lang w:eastAsia="en-GB"/>
                    </w:rPr>
                    <w:t>Sarah Sheen</w:t>
                  </w:r>
                </w:p>
              </w:tc>
              <w:tc>
                <w:tcPr>
                  <w:tcW w:w="4910" w:type="dxa"/>
                </w:tcPr>
                <w:p w14:paraId="55F85D0D" w14:textId="3C7E2E1B" w:rsidR="009602FF" w:rsidRPr="001D5725" w:rsidRDefault="009602FF" w:rsidP="009602FF">
                  <w:pPr>
                    <w:tabs>
                      <w:tab w:val="left" w:pos="2268"/>
                      <w:tab w:val="left" w:pos="5103"/>
                    </w:tabs>
                    <w:rPr>
                      <w:i/>
                      <w:lang w:eastAsia="en-GB"/>
                    </w:rPr>
                  </w:pPr>
                  <w:r w:rsidRPr="00BE4C2D">
                    <w:rPr>
                      <w:i/>
                      <w:lang w:eastAsia="en-GB"/>
                    </w:rPr>
                    <w:t>CIPFA, Secretariat to the SORP Committee</w:t>
                  </w:r>
                </w:p>
              </w:tc>
            </w:tr>
            <w:tr w:rsidR="009602FF" w:rsidRPr="001D5725" w14:paraId="7B49C703" w14:textId="77777777" w:rsidTr="008122A9">
              <w:tc>
                <w:tcPr>
                  <w:tcW w:w="2262" w:type="dxa"/>
                </w:tcPr>
                <w:p w14:paraId="615AA826" w14:textId="77777777" w:rsidR="009602FF" w:rsidRPr="00BE4C2D" w:rsidRDefault="009602FF" w:rsidP="009602FF">
                  <w:pPr>
                    <w:tabs>
                      <w:tab w:val="left" w:pos="2268"/>
                      <w:tab w:val="left" w:pos="5103"/>
                    </w:tabs>
                    <w:rPr>
                      <w:rFonts w:ascii="Times New Roman" w:hAnsi="Times New Roman"/>
                      <w:lang w:eastAsia="en-GB"/>
                    </w:rPr>
                  </w:pPr>
                </w:p>
              </w:tc>
              <w:tc>
                <w:tcPr>
                  <w:tcW w:w="2401" w:type="dxa"/>
                </w:tcPr>
                <w:p w14:paraId="6DF191EB" w14:textId="77777777" w:rsidR="009602FF" w:rsidRPr="001D5725" w:rsidRDefault="009602FF" w:rsidP="009602FF">
                  <w:pPr>
                    <w:tabs>
                      <w:tab w:val="left" w:pos="2268"/>
                      <w:tab w:val="left" w:pos="5103"/>
                    </w:tabs>
                    <w:rPr>
                      <w:lang w:eastAsia="en-GB"/>
                    </w:rPr>
                  </w:pPr>
                </w:p>
              </w:tc>
              <w:tc>
                <w:tcPr>
                  <w:tcW w:w="4910" w:type="dxa"/>
                </w:tcPr>
                <w:p w14:paraId="6777D596" w14:textId="77777777" w:rsidR="009602FF" w:rsidRPr="001D5725" w:rsidRDefault="009602FF" w:rsidP="009602FF">
                  <w:pPr>
                    <w:tabs>
                      <w:tab w:val="left" w:pos="2268"/>
                      <w:tab w:val="left" w:pos="5103"/>
                    </w:tabs>
                    <w:rPr>
                      <w:i/>
                      <w:lang w:eastAsia="en-GB"/>
                    </w:rPr>
                  </w:pPr>
                </w:p>
              </w:tc>
            </w:tr>
            <w:tr w:rsidR="009602FF" w:rsidRPr="001D5725" w14:paraId="3569EAF5" w14:textId="77777777" w:rsidTr="008122A9">
              <w:tc>
                <w:tcPr>
                  <w:tcW w:w="2262" w:type="dxa"/>
                </w:tcPr>
                <w:p w14:paraId="5864B107" w14:textId="77777777" w:rsidR="009602FF" w:rsidRPr="00BE4C2D" w:rsidRDefault="009602FF" w:rsidP="009602FF">
                  <w:pPr>
                    <w:tabs>
                      <w:tab w:val="left" w:pos="2268"/>
                      <w:tab w:val="left" w:pos="5103"/>
                    </w:tabs>
                    <w:rPr>
                      <w:lang w:eastAsia="en-GB"/>
                    </w:rPr>
                  </w:pPr>
                  <w:r w:rsidRPr="00BE4C2D">
                    <w:rPr>
                      <w:lang w:eastAsia="en-GB"/>
                    </w:rPr>
                    <w:t>Observers</w:t>
                  </w:r>
                </w:p>
              </w:tc>
              <w:tc>
                <w:tcPr>
                  <w:tcW w:w="2401" w:type="dxa"/>
                </w:tcPr>
                <w:p w14:paraId="29E84BF6" w14:textId="77777777" w:rsidR="009602FF" w:rsidRPr="001D5725" w:rsidRDefault="009602FF" w:rsidP="009602FF">
                  <w:pPr>
                    <w:tabs>
                      <w:tab w:val="left" w:pos="2268"/>
                      <w:tab w:val="left" w:pos="5103"/>
                    </w:tabs>
                    <w:rPr>
                      <w:lang w:eastAsia="en-GB"/>
                    </w:rPr>
                  </w:pPr>
                  <w:r>
                    <w:rPr>
                      <w:lang w:eastAsia="en-GB"/>
                    </w:rPr>
                    <w:t>Jane O’Doherty</w:t>
                  </w:r>
                </w:p>
              </w:tc>
              <w:tc>
                <w:tcPr>
                  <w:tcW w:w="4910" w:type="dxa"/>
                </w:tcPr>
                <w:p w14:paraId="4FB6DDDB" w14:textId="77777777" w:rsidR="009602FF" w:rsidRPr="001D5725" w:rsidRDefault="009602FF" w:rsidP="009602FF">
                  <w:pPr>
                    <w:tabs>
                      <w:tab w:val="left" w:pos="2268"/>
                      <w:tab w:val="left" w:pos="5103"/>
                    </w:tabs>
                    <w:rPr>
                      <w:i/>
                      <w:lang w:eastAsia="en-GB"/>
                    </w:rPr>
                  </w:pPr>
                  <w:r w:rsidRPr="001D5725">
                    <w:rPr>
                      <w:i/>
                      <w:lang w:eastAsia="en-GB"/>
                    </w:rPr>
                    <w:t>Financial Reporting Council</w:t>
                  </w:r>
                </w:p>
              </w:tc>
            </w:tr>
            <w:tr w:rsidR="009602FF" w:rsidRPr="001B301B" w14:paraId="69BFDF7A" w14:textId="77777777" w:rsidTr="008122A9">
              <w:tc>
                <w:tcPr>
                  <w:tcW w:w="2262" w:type="dxa"/>
                </w:tcPr>
                <w:p w14:paraId="3B678F06" w14:textId="77777777" w:rsidR="009602FF" w:rsidRPr="00BE4C2D" w:rsidRDefault="009602FF" w:rsidP="009602FF">
                  <w:pPr>
                    <w:tabs>
                      <w:tab w:val="left" w:pos="2268"/>
                      <w:tab w:val="left" w:pos="5103"/>
                    </w:tabs>
                    <w:rPr>
                      <w:lang w:eastAsia="en-GB"/>
                    </w:rPr>
                  </w:pPr>
                </w:p>
              </w:tc>
              <w:tc>
                <w:tcPr>
                  <w:tcW w:w="2401" w:type="dxa"/>
                </w:tcPr>
                <w:p w14:paraId="0EE6A0BD" w14:textId="77777777" w:rsidR="009602FF" w:rsidRPr="001B301B" w:rsidRDefault="009602FF" w:rsidP="009602FF">
                  <w:pPr>
                    <w:tabs>
                      <w:tab w:val="left" w:pos="2268"/>
                      <w:tab w:val="left" w:pos="5103"/>
                    </w:tabs>
                    <w:rPr>
                      <w:lang w:eastAsia="en-GB"/>
                    </w:rPr>
                  </w:pPr>
                  <w:r w:rsidRPr="001B301B">
                    <w:rPr>
                      <w:lang w:eastAsia="en-GB"/>
                    </w:rPr>
                    <w:t>Jelena Griscenko</w:t>
                  </w:r>
                </w:p>
              </w:tc>
              <w:tc>
                <w:tcPr>
                  <w:tcW w:w="4910" w:type="dxa"/>
                </w:tcPr>
                <w:p w14:paraId="40B1380B" w14:textId="77777777" w:rsidR="009602FF" w:rsidRPr="001B301B" w:rsidRDefault="009602FF" w:rsidP="009602FF">
                  <w:pPr>
                    <w:tabs>
                      <w:tab w:val="left" w:pos="2268"/>
                      <w:tab w:val="left" w:pos="5103"/>
                    </w:tabs>
                    <w:rPr>
                      <w:i/>
                      <w:lang w:eastAsia="en-GB"/>
                    </w:rPr>
                  </w:pPr>
                  <w:r w:rsidRPr="001B301B">
                    <w:rPr>
                      <w:i/>
                      <w:lang w:eastAsia="en-GB"/>
                    </w:rPr>
                    <w:t>The Charities Regulator in Ireland</w:t>
                  </w:r>
                </w:p>
              </w:tc>
            </w:tr>
            <w:tr w:rsidR="001E3385" w:rsidRPr="001B301B" w14:paraId="0A52B1B8" w14:textId="77777777" w:rsidTr="008122A9">
              <w:tc>
                <w:tcPr>
                  <w:tcW w:w="2262" w:type="dxa"/>
                </w:tcPr>
                <w:p w14:paraId="58269B61" w14:textId="77777777" w:rsidR="001E3385" w:rsidRPr="00BE4C2D" w:rsidRDefault="001E3385" w:rsidP="009602FF">
                  <w:pPr>
                    <w:tabs>
                      <w:tab w:val="left" w:pos="2268"/>
                      <w:tab w:val="left" w:pos="5103"/>
                    </w:tabs>
                    <w:rPr>
                      <w:lang w:eastAsia="en-GB"/>
                    </w:rPr>
                  </w:pPr>
                </w:p>
              </w:tc>
              <w:tc>
                <w:tcPr>
                  <w:tcW w:w="2401" w:type="dxa"/>
                </w:tcPr>
                <w:p w14:paraId="5C23AE8E" w14:textId="57B22674" w:rsidR="001E3385" w:rsidRPr="001B301B" w:rsidRDefault="001E3385" w:rsidP="009602FF">
                  <w:pPr>
                    <w:tabs>
                      <w:tab w:val="left" w:pos="2268"/>
                      <w:tab w:val="left" w:pos="5103"/>
                    </w:tabs>
                    <w:rPr>
                      <w:lang w:eastAsia="en-GB"/>
                    </w:rPr>
                  </w:pPr>
                  <w:r>
                    <w:rPr>
                      <w:lang w:eastAsia="en-GB"/>
                    </w:rPr>
                    <w:t>Claire Morrisson</w:t>
                  </w:r>
                </w:p>
              </w:tc>
              <w:tc>
                <w:tcPr>
                  <w:tcW w:w="4910" w:type="dxa"/>
                </w:tcPr>
                <w:p w14:paraId="5FEC6104" w14:textId="3A26C22D" w:rsidR="001E3385" w:rsidRPr="001B301B" w:rsidRDefault="001E3385" w:rsidP="009602FF">
                  <w:pPr>
                    <w:tabs>
                      <w:tab w:val="left" w:pos="2268"/>
                      <w:tab w:val="left" w:pos="5103"/>
                    </w:tabs>
                    <w:rPr>
                      <w:i/>
                      <w:lang w:eastAsia="en-GB"/>
                    </w:rPr>
                  </w:pPr>
                  <w:r w:rsidRPr="001D5725">
                    <w:rPr>
                      <w:i/>
                      <w:lang w:eastAsia="en-GB"/>
                    </w:rPr>
                    <w:t>Office of the Scottish Charity Regulator (OSCR)</w:t>
                  </w:r>
                </w:p>
              </w:tc>
            </w:tr>
            <w:tr w:rsidR="009602FF" w14:paraId="5B347B3F" w14:textId="77777777" w:rsidTr="008122A9">
              <w:tc>
                <w:tcPr>
                  <w:tcW w:w="2262" w:type="dxa"/>
                </w:tcPr>
                <w:p w14:paraId="76E236B2" w14:textId="77777777" w:rsidR="009602FF" w:rsidRDefault="009602FF" w:rsidP="009602FF">
                  <w:pPr>
                    <w:tabs>
                      <w:tab w:val="left" w:pos="2268"/>
                      <w:tab w:val="left" w:pos="5103"/>
                    </w:tabs>
                    <w:rPr>
                      <w:lang w:eastAsia="en-GB"/>
                    </w:rPr>
                  </w:pPr>
                </w:p>
              </w:tc>
              <w:tc>
                <w:tcPr>
                  <w:tcW w:w="2401" w:type="dxa"/>
                </w:tcPr>
                <w:p w14:paraId="5F593642" w14:textId="77777777" w:rsidR="009602FF" w:rsidRDefault="009602FF" w:rsidP="009602FF">
                  <w:pPr>
                    <w:tabs>
                      <w:tab w:val="left" w:pos="2268"/>
                      <w:tab w:val="left" w:pos="5103"/>
                    </w:tabs>
                    <w:rPr>
                      <w:lang w:eastAsia="en-GB"/>
                    </w:rPr>
                  </w:pPr>
                </w:p>
              </w:tc>
              <w:tc>
                <w:tcPr>
                  <w:tcW w:w="4910" w:type="dxa"/>
                </w:tcPr>
                <w:p w14:paraId="7C837BE2" w14:textId="77777777" w:rsidR="009602FF" w:rsidRDefault="009602FF" w:rsidP="009602FF">
                  <w:pPr>
                    <w:tabs>
                      <w:tab w:val="left" w:pos="2268"/>
                      <w:tab w:val="left" w:pos="5103"/>
                    </w:tabs>
                    <w:rPr>
                      <w:i/>
                      <w:lang w:eastAsia="en-GB"/>
                    </w:rPr>
                  </w:pPr>
                </w:p>
              </w:tc>
            </w:tr>
            <w:tr w:rsidR="009602FF" w14:paraId="72D4A3C5" w14:textId="77777777" w:rsidTr="008122A9">
              <w:tc>
                <w:tcPr>
                  <w:tcW w:w="2262" w:type="dxa"/>
                </w:tcPr>
                <w:p w14:paraId="4455F0C9" w14:textId="69D77FF8" w:rsidR="009602FF" w:rsidRDefault="009602FF" w:rsidP="009602FF">
                  <w:pPr>
                    <w:tabs>
                      <w:tab w:val="left" w:pos="2268"/>
                      <w:tab w:val="left" w:pos="5103"/>
                    </w:tabs>
                    <w:rPr>
                      <w:lang w:eastAsia="en-GB"/>
                    </w:rPr>
                  </w:pPr>
                  <w:r>
                    <w:rPr>
                      <w:lang w:eastAsia="en-GB"/>
                    </w:rPr>
                    <w:t>Apologies</w:t>
                  </w:r>
                </w:p>
              </w:tc>
              <w:tc>
                <w:tcPr>
                  <w:tcW w:w="2401" w:type="dxa"/>
                </w:tcPr>
                <w:p w14:paraId="3003184D" w14:textId="3FC02891" w:rsidR="003F4AC2" w:rsidRDefault="001E3385" w:rsidP="009602FF">
                  <w:pPr>
                    <w:tabs>
                      <w:tab w:val="left" w:pos="2268"/>
                      <w:tab w:val="left" w:pos="5103"/>
                    </w:tabs>
                    <w:rPr>
                      <w:lang w:eastAsia="en-GB"/>
                    </w:rPr>
                  </w:pPr>
                  <w:r w:rsidRPr="001B301B">
                    <w:rPr>
                      <w:lang w:eastAsia="en-GB"/>
                    </w:rPr>
                    <w:t>Tom Connaughton</w:t>
                  </w:r>
                </w:p>
              </w:tc>
              <w:tc>
                <w:tcPr>
                  <w:tcW w:w="4910" w:type="dxa"/>
                </w:tcPr>
                <w:p w14:paraId="01C80E2E" w14:textId="264FFE6D" w:rsidR="009602FF" w:rsidRDefault="001E3385" w:rsidP="009602FF">
                  <w:pPr>
                    <w:tabs>
                      <w:tab w:val="left" w:pos="2268"/>
                      <w:tab w:val="left" w:pos="5103"/>
                    </w:tabs>
                    <w:rPr>
                      <w:i/>
                      <w:lang w:eastAsia="en-GB"/>
                    </w:rPr>
                  </w:pPr>
                  <w:r w:rsidRPr="001B301B">
                    <w:rPr>
                      <w:i/>
                      <w:lang w:eastAsia="en-GB"/>
                    </w:rPr>
                    <w:t>The Rehab Group</w:t>
                  </w:r>
                </w:p>
              </w:tc>
            </w:tr>
            <w:tr w:rsidR="001E3385" w14:paraId="0F9BD314" w14:textId="77777777" w:rsidTr="008122A9">
              <w:tc>
                <w:tcPr>
                  <w:tcW w:w="2262" w:type="dxa"/>
                </w:tcPr>
                <w:p w14:paraId="6FEF0AA2" w14:textId="77777777" w:rsidR="001E3385" w:rsidRDefault="001E3385" w:rsidP="009602FF">
                  <w:pPr>
                    <w:tabs>
                      <w:tab w:val="left" w:pos="2268"/>
                      <w:tab w:val="left" w:pos="5103"/>
                    </w:tabs>
                    <w:rPr>
                      <w:lang w:eastAsia="en-GB"/>
                    </w:rPr>
                  </w:pPr>
                </w:p>
              </w:tc>
              <w:tc>
                <w:tcPr>
                  <w:tcW w:w="2401" w:type="dxa"/>
                </w:tcPr>
                <w:p w14:paraId="4077C936" w14:textId="618B8026" w:rsidR="001E3385" w:rsidRPr="001B301B" w:rsidRDefault="001E3385" w:rsidP="009602FF">
                  <w:pPr>
                    <w:tabs>
                      <w:tab w:val="left" w:pos="2268"/>
                      <w:tab w:val="left" w:pos="5103"/>
                    </w:tabs>
                    <w:rPr>
                      <w:lang w:eastAsia="en-GB"/>
                    </w:rPr>
                  </w:pPr>
                  <w:r w:rsidRPr="001B301B">
                    <w:rPr>
                      <w:lang w:eastAsia="en-GB"/>
                    </w:rPr>
                    <w:t>Tim Hencher</w:t>
                  </w:r>
                </w:p>
              </w:tc>
              <w:tc>
                <w:tcPr>
                  <w:tcW w:w="4910" w:type="dxa"/>
                </w:tcPr>
                <w:p w14:paraId="4E6EE6DF" w14:textId="6C859A77" w:rsidR="001E3385" w:rsidRPr="001B301B" w:rsidRDefault="001E3385" w:rsidP="009602FF">
                  <w:pPr>
                    <w:tabs>
                      <w:tab w:val="left" w:pos="2268"/>
                      <w:tab w:val="left" w:pos="5103"/>
                    </w:tabs>
                    <w:rPr>
                      <w:i/>
                      <w:lang w:eastAsia="en-GB"/>
                    </w:rPr>
                  </w:pPr>
                  <w:r w:rsidRPr="001B301B">
                    <w:rPr>
                      <w:i/>
                      <w:lang w:eastAsia="en-GB"/>
                    </w:rPr>
                    <w:t>Scottish Council for Voluntary Organisations</w:t>
                  </w:r>
                </w:p>
              </w:tc>
            </w:tr>
            <w:tr w:rsidR="001E3385" w14:paraId="33B23327" w14:textId="77777777" w:rsidTr="008122A9">
              <w:tc>
                <w:tcPr>
                  <w:tcW w:w="2262" w:type="dxa"/>
                </w:tcPr>
                <w:p w14:paraId="2E71EFD7" w14:textId="77777777" w:rsidR="001E3385" w:rsidRDefault="001E3385" w:rsidP="009602FF">
                  <w:pPr>
                    <w:tabs>
                      <w:tab w:val="left" w:pos="2268"/>
                      <w:tab w:val="left" w:pos="5103"/>
                    </w:tabs>
                    <w:rPr>
                      <w:lang w:eastAsia="en-GB"/>
                    </w:rPr>
                  </w:pPr>
                </w:p>
              </w:tc>
              <w:tc>
                <w:tcPr>
                  <w:tcW w:w="2401" w:type="dxa"/>
                </w:tcPr>
                <w:p w14:paraId="640ACAB8" w14:textId="59CD4764" w:rsidR="001E3385" w:rsidRPr="001B301B" w:rsidRDefault="001E3385" w:rsidP="009602FF">
                  <w:pPr>
                    <w:tabs>
                      <w:tab w:val="left" w:pos="2268"/>
                      <w:tab w:val="left" w:pos="5103"/>
                    </w:tabs>
                    <w:rPr>
                      <w:lang w:eastAsia="en-GB"/>
                    </w:rPr>
                  </w:pPr>
                  <w:r>
                    <w:rPr>
                      <w:lang w:eastAsia="en-GB"/>
                    </w:rPr>
                    <w:t>Carol Rudge</w:t>
                  </w:r>
                </w:p>
              </w:tc>
              <w:tc>
                <w:tcPr>
                  <w:tcW w:w="4910" w:type="dxa"/>
                </w:tcPr>
                <w:p w14:paraId="0D0FD6DA" w14:textId="00298784" w:rsidR="001E3385" w:rsidRPr="001B301B" w:rsidRDefault="001E3385" w:rsidP="009602FF">
                  <w:pPr>
                    <w:tabs>
                      <w:tab w:val="left" w:pos="2268"/>
                      <w:tab w:val="left" w:pos="5103"/>
                    </w:tabs>
                    <w:rPr>
                      <w:i/>
                      <w:lang w:eastAsia="en-GB"/>
                    </w:rPr>
                  </w:pPr>
                  <w:r w:rsidRPr="00BE4C2D">
                    <w:rPr>
                      <w:i/>
                      <w:lang w:eastAsia="en-GB"/>
                    </w:rPr>
                    <w:t>Grant Thornton</w:t>
                  </w:r>
                </w:p>
              </w:tc>
            </w:tr>
            <w:tr w:rsidR="009602FF" w:rsidRPr="001B301B" w14:paraId="7527E007" w14:textId="77777777" w:rsidTr="008122A9">
              <w:tc>
                <w:tcPr>
                  <w:tcW w:w="2262" w:type="dxa"/>
                </w:tcPr>
                <w:p w14:paraId="629BAB16" w14:textId="77777777" w:rsidR="009602FF" w:rsidRPr="00A65AB2" w:rsidRDefault="009602FF" w:rsidP="009602FF">
                  <w:pPr>
                    <w:rPr>
                      <w:lang w:eastAsia="en-GB"/>
                    </w:rPr>
                  </w:pPr>
                </w:p>
              </w:tc>
              <w:tc>
                <w:tcPr>
                  <w:tcW w:w="2401" w:type="dxa"/>
                </w:tcPr>
                <w:p w14:paraId="08FF58C4" w14:textId="0CFC7B65" w:rsidR="009602FF" w:rsidRPr="001B301B" w:rsidRDefault="009602FF" w:rsidP="009602FF">
                  <w:pPr>
                    <w:rPr>
                      <w:lang w:eastAsia="en-GB"/>
                    </w:rPr>
                  </w:pPr>
                </w:p>
              </w:tc>
              <w:tc>
                <w:tcPr>
                  <w:tcW w:w="4910" w:type="dxa"/>
                </w:tcPr>
                <w:p w14:paraId="46FD0EA6" w14:textId="1D6B5AE1" w:rsidR="009602FF" w:rsidRPr="001B301B" w:rsidRDefault="009602FF" w:rsidP="009602FF">
                  <w:pPr>
                    <w:rPr>
                      <w:i/>
                      <w:lang w:eastAsia="en-GB"/>
                    </w:rPr>
                  </w:pPr>
                </w:p>
              </w:tc>
            </w:tr>
          </w:tbl>
          <w:p w14:paraId="31F49AA1" w14:textId="4A2B947E" w:rsidR="008D38BF" w:rsidRDefault="008D38BF" w:rsidP="000956EC">
            <w:pPr>
              <w:pStyle w:val="NoSpacing"/>
            </w:pPr>
          </w:p>
        </w:tc>
        <w:tc>
          <w:tcPr>
            <w:tcW w:w="385" w:type="dxa"/>
            <w:shd w:val="clear" w:color="auto" w:fill="auto"/>
          </w:tcPr>
          <w:p w14:paraId="0FDCF1F3" w14:textId="1E9B62D7" w:rsidR="001E22CD" w:rsidRDefault="001E22CD" w:rsidP="000956EC">
            <w:pPr>
              <w:pStyle w:val="NoSpacing"/>
            </w:pPr>
          </w:p>
        </w:tc>
        <w:tc>
          <w:tcPr>
            <w:tcW w:w="533" w:type="dxa"/>
            <w:gridSpan w:val="3"/>
            <w:shd w:val="clear" w:color="auto" w:fill="auto"/>
          </w:tcPr>
          <w:p w14:paraId="2A3ABA7D" w14:textId="6E326A5E" w:rsidR="001E22CD" w:rsidRPr="001E22CD" w:rsidRDefault="001E22CD" w:rsidP="001E22CD"/>
        </w:tc>
        <w:tc>
          <w:tcPr>
            <w:tcW w:w="386" w:type="dxa"/>
            <w:gridSpan w:val="2"/>
          </w:tcPr>
          <w:p w14:paraId="1B120641" w14:textId="77777777" w:rsidR="008D38BF" w:rsidRDefault="008D38BF" w:rsidP="000956EC">
            <w:pPr>
              <w:pStyle w:val="NoSpacing"/>
            </w:pPr>
          </w:p>
        </w:tc>
      </w:tr>
      <w:tr w:rsidR="00A17AF9" w:rsidRPr="008D38BF" w14:paraId="74C5EE1E" w14:textId="77777777" w:rsidTr="00E2184C">
        <w:trPr>
          <w:gridAfter w:val="1"/>
          <w:wAfter w:w="232" w:type="dxa"/>
          <w:trHeight w:val="49"/>
          <w:tblHeader/>
        </w:trPr>
        <w:tc>
          <w:tcPr>
            <w:tcW w:w="10456" w:type="dxa"/>
            <w:gridSpan w:val="4"/>
            <w:shd w:val="clear" w:color="auto" w:fill="auto"/>
          </w:tcPr>
          <w:tbl>
            <w:tblPr>
              <w:tblStyle w:val="TableGrid1"/>
              <w:tblW w:w="90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
              <w:gridCol w:w="7268"/>
              <w:gridCol w:w="839"/>
            </w:tblGrid>
            <w:tr w:rsidR="00F5546F" w:rsidRPr="00E7339A" w14:paraId="13243459" w14:textId="77777777" w:rsidTr="00001CE0">
              <w:tc>
                <w:tcPr>
                  <w:tcW w:w="907" w:type="dxa"/>
                </w:tcPr>
                <w:p w14:paraId="64E33F4A" w14:textId="77777777" w:rsidR="00F5546F" w:rsidRPr="00E7339A" w:rsidRDefault="00F5546F" w:rsidP="001E22CD">
                  <w:pPr>
                    <w:spacing w:before="100" w:beforeAutospacing="1" w:line="276" w:lineRule="auto"/>
                    <w:rPr>
                      <w:rFonts w:eastAsiaTheme="minorEastAsia"/>
                      <w:b/>
                      <w:lang w:eastAsia="en-GB"/>
                    </w:rPr>
                  </w:pPr>
                </w:p>
              </w:tc>
              <w:tc>
                <w:tcPr>
                  <w:tcW w:w="7268" w:type="dxa"/>
                </w:tcPr>
                <w:p w14:paraId="7CFFE002" w14:textId="77777777" w:rsidR="00F5546F" w:rsidRPr="0078584E" w:rsidRDefault="00F5546F" w:rsidP="001E22CD">
                  <w:pPr>
                    <w:spacing w:before="100" w:beforeAutospacing="1" w:line="276" w:lineRule="auto"/>
                    <w:rPr>
                      <w:b/>
                    </w:rPr>
                  </w:pPr>
                </w:p>
              </w:tc>
              <w:tc>
                <w:tcPr>
                  <w:tcW w:w="839" w:type="dxa"/>
                </w:tcPr>
                <w:p w14:paraId="7F419CAA" w14:textId="77777777" w:rsidR="00F5546F" w:rsidRDefault="00F5546F" w:rsidP="001E22CD">
                  <w:pPr>
                    <w:spacing w:before="100" w:beforeAutospacing="1" w:line="276" w:lineRule="auto"/>
                    <w:rPr>
                      <w:rFonts w:eastAsiaTheme="minorEastAsia"/>
                      <w:b/>
                      <w:lang w:eastAsia="en-GB"/>
                    </w:rPr>
                  </w:pPr>
                </w:p>
              </w:tc>
            </w:tr>
            <w:tr w:rsidR="001E22CD" w:rsidRPr="00E7339A" w14:paraId="35F950CD" w14:textId="77777777" w:rsidTr="00001CE0">
              <w:tc>
                <w:tcPr>
                  <w:tcW w:w="907" w:type="dxa"/>
                </w:tcPr>
                <w:p w14:paraId="1F33AFA4" w14:textId="77777777" w:rsidR="001E22CD" w:rsidRPr="00E7339A" w:rsidRDefault="001E22CD" w:rsidP="001E22CD">
                  <w:pPr>
                    <w:spacing w:before="100" w:beforeAutospacing="1" w:line="276" w:lineRule="auto"/>
                    <w:rPr>
                      <w:rFonts w:eastAsiaTheme="minorEastAsia"/>
                      <w:b/>
                      <w:lang w:eastAsia="en-GB"/>
                    </w:rPr>
                  </w:pPr>
                  <w:r w:rsidRPr="00E7339A">
                    <w:rPr>
                      <w:rFonts w:eastAsiaTheme="minorEastAsia"/>
                      <w:b/>
                      <w:lang w:eastAsia="en-GB"/>
                    </w:rPr>
                    <w:t>1</w:t>
                  </w:r>
                  <w:r>
                    <w:rPr>
                      <w:rFonts w:eastAsiaTheme="minorEastAsia"/>
                      <w:b/>
                      <w:lang w:eastAsia="en-GB"/>
                    </w:rPr>
                    <w:t>.</w:t>
                  </w:r>
                </w:p>
              </w:tc>
              <w:tc>
                <w:tcPr>
                  <w:tcW w:w="7268" w:type="dxa"/>
                </w:tcPr>
                <w:p w14:paraId="1CE5F375" w14:textId="77777777" w:rsidR="001E22CD" w:rsidRPr="00E7339A" w:rsidRDefault="001E22CD" w:rsidP="001E22CD">
                  <w:pPr>
                    <w:spacing w:before="100" w:beforeAutospacing="1" w:line="276" w:lineRule="auto"/>
                    <w:rPr>
                      <w:rFonts w:eastAsiaTheme="minorEastAsia"/>
                      <w:b/>
                      <w:lang w:eastAsia="en-GB"/>
                    </w:rPr>
                  </w:pPr>
                  <w:r w:rsidRPr="0078584E">
                    <w:rPr>
                      <w:b/>
                    </w:rPr>
                    <w:t>Welcome, apologies for absences and declarations of interest</w:t>
                  </w:r>
                </w:p>
              </w:tc>
              <w:tc>
                <w:tcPr>
                  <w:tcW w:w="839" w:type="dxa"/>
                </w:tcPr>
                <w:p w14:paraId="3CB990EB" w14:textId="1935AC90" w:rsidR="001E22CD" w:rsidRPr="00EB416B" w:rsidRDefault="00EB45AA" w:rsidP="001E22CD">
                  <w:pPr>
                    <w:spacing w:before="100" w:beforeAutospacing="1" w:line="276" w:lineRule="auto"/>
                    <w:rPr>
                      <w:rFonts w:eastAsiaTheme="minorEastAsia"/>
                      <w:b/>
                      <w:lang w:eastAsia="en-GB"/>
                    </w:rPr>
                  </w:pPr>
                  <w:r>
                    <w:rPr>
                      <w:rFonts w:eastAsiaTheme="minorEastAsia"/>
                      <w:b/>
                      <w:lang w:eastAsia="en-GB"/>
                    </w:rPr>
                    <w:t>Action</w:t>
                  </w:r>
                </w:p>
              </w:tc>
            </w:tr>
            <w:tr w:rsidR="00A74AB8" w:rsidRPr="00E7339A" w14:paraId="7869264A" w14:textId="77777777" w:rsidTr="00001CE0">
              <w:tc>
                <w:tcPr>
                  <w:tcW w:w="907" w:type="dxa"/>
                </w:tcPr>
                <w:p w14:paraId="7507C9AC" w14:textId="7B0C3481" w:rsidR="00A74AB8" w:rsidRPr="002F393E" w:rsidRDefault="00A74AB8" w:rsidP="001E22CD">
                  <w:pPr>
                    <w:spacing w:before="100" w:beforeAutospacing="1" w:line="276" w:lineRule="auto"/>
                    <w:rPr>
                      <w:rFonts w:eastAsiaTheme="minorEastAsia"/>
                      <w:lang w:eastAsia="en-GB"/>
                    </w:rPr>
                  </w:pPr>
                  <w:r w:rsidRPr="002F393E">
                    <w:rPr>
                      <w:rFonts w:eastAsiaTheme="minorEastAsia"/>
                      <w:lang w:eastAsia="en-GB"/>
                    </w:rPr>
                    <w:t>1.1</w:t>
                  </w:r>
                </w:p>
              </w:tc>
              <w:tc>
                <w:tcPr>
                  <w:tcW w:w="7268" w:type="dxa"/>
                </w:tcPr>
                <w:p w14:paraId="64191446" w14:textId="77777777" w:rsidR="00A74AB8" w:rsidRDefault="00A74AB8" w:rsidP="00A74AB8">
                  <w:r>
                    <w:t xml:space="preserve">The Chair welcomed SORP Committee Members to the meeting. </w:t>
                  </w:r>
                </w:p>
                <w:p w14:paraId="1E1CDE25" w14:textId="28B37D8B" w:rsidR="000F4A46" w:rsidRDefault="00A8779B" w:rsidP="00A74AB8">
                  <w:r>
                    <w:t xml:space="preserve">The Chair </w:t>
                  </w:r>
                  <w:r w:rsidR="001726C7">
                    <w:t>expressed anticipation</w:t>
                  </w:r>
                  <w:r>
                    <w:t xml:space="preserve"> </w:t>
                  </w:r>
                  <w:r w:rsidR="001E3385">
                    <w:t>that</w:t>
                  </w:r>
                  <w:r w:rsidR="003F4AC2">
                    <w:t xml:space="preserve"> </w:t>
                  </w:r>
                  <w:r>
                    <w:t>the meeting’s</w:t>
                  </w:r>
                  <w:r w:rsidR="003F4AC2">
                    <w:t xml:space="preserve"> </w:t>
                  </w:r>
                  <w:r w:rsidR="000F4A46">
                    <w:t xml:space="preserve">discussion would produce some </w:t>
                  </w:r>
                  <w:r>
                    <w:t>meaningful</w:t>
                  </w:r>
                  <w:r w:rsidR="000F4A46">
                    <w:t xml:space="preserve"> </w:t>
                  </w:r>
                  <w:r>
                    <w:t>outcomes and</w:t>
                  </w:r>
                  <w:r w:rsidR="000F4A46">
                    <w:t xml:space="preserve"> </w:t>
                  </w:r>
                  <w:r w:rsidR="00A74AB8">
                    <w:t xml:space="preserve">proposed that all items on the agenda </w:t>
                  </w:r>
                  <w:r w:rsidR="000F4A46">
                    <w:t xml:space="preserve">are </w:t>
                  </w:r>
                  <w:r w:rsidR="00A74AB8">
                    <w:t xml:space="preserve">followed with no proposed </w:t>
                  </w:r>
                  <w:r w:rsidR="004128BF">
                    <w:t>changes</w:t>
                  </w:r>
                  <w:r w:rsidR="00A74AB8">
                    <w:t xml:space="preserve"> to order or timings. </w:t>
                  </w:r>
                </w:p>
                <w:p w14:paraId="46D0D235" w14:textId="77777777" w:rsidR="00A74AB8" w:rsidRDefault="00A74AB8" w:rsidP="001E22CD"/>
              </w:tc>
              <w:tc>
                <w:tcPr>
                  <w:tcW w:w="839" w:type="dxa"/>
                  <w:vAlign w:val="center"/>
                </w:tcPr>
                <w:p w14:paraId="541D0582" w14:textId="77777777" w:rsidR="00A74AB8" w:rsidRPr="00E7339A" w:rsidRDefault="00A74AB8" w:rsidP="001E22CD">
                  <w:pPr>
                    <w:spacing w:before="100" w:beforeAutospacing="1" w:line="276" w:lineRule="auto"/>
                    <w:ind w:right="2302"/>
                    <w:rPr>
                      <w:rFonts w:eastAsiaTheme="minorEastAsia"/>
                      <w:lang w:eastAsia="en-GB"/>
                    </w:rPr>
                  </w:pPr>
                </w:p>
              </w:tc>
            </w:tr>
            <w:tr w:rsidR="001726C7" w:rsidRPr="00E7339A" w14:paraId="43258FC3" w14:textId="77777777" w:rsidTr="00001CE0">
              <w:tc>
                <w:tcPr>
                  <w:tcW w:w="907" w:type="dxa"/>
                </w:tcPr>
                <w:p w14:paraId="5A83F7DD" w14:textId="1F983AC0" w:rsidR="001726C7" w:rsidRPr="00A74AB8" w:rsidRDefault="001726C7" w:rsidP="001E22CD">
                  <w:pPr>
                    <w:spacing w:before="100" w:beforeAutospacing="1" w:line="276" w:lineRule="auto"/>
                    <w:rPr>
                      <w:rFonts w:eastAsiaTheme="minorEastAsia"/>
                      <w:b/>
                      <w:bCs/>
                      <w:lang w:eastAsia="en-GB"/>
                    </w:rPr>
                  </w:pPr>
                  <w:r w:rsidRPr="00A74AB8">
                    <w:rPr>
                      <w:rFonts w:eastAsiaTheme="minorEastAsia"/>
                      <w:b/>
                      <w:bCs/>
                      <w:lang w:eastAsia="en-GB"/>
                    </w:rPr>
                    <w:t>1.2</w:t>
                  </w:r>
                </w:p>
              </w:tc>
              <w:tc>
                <w:tcPr>
                  <w:tcW w:w="7268" w:type="dxa"/>
                </w:tcPr>
                <w:p w14:paraId="13C8C9E8" w14:textId="2DE7D7E1" w:rsidR="001726C7" w:rsidRPr="00A74AB8" w:rsidRDefault="001726C7" w:rsidP="001726C7">
                  <w:pPr>
                    <w:rPr>
                      <w:b/>
                      <w:bCs/>
                    </w:rPr>
                  </w:pPr>
                  <w:r w:rsidRPr="00A74AB8">
                    <w:rPr>
                      <w:b/>
                      <w:bCs/>
                    </w:rPr>
                    <w:t>Declarations of interest</w:t>
                  </w:r>
                </w:p>
              </w:tc>
              <w:tc>
                <w:tcPr>
                  <w:tcW w:w="839" w:type="dxa"/>
                  <w:vAlign w:val="center"/>
                </w:tcPr>
                <w:p w14:paraId="18F67CFC" w14:textId="77777777" w:rsidR="001726C7" w:rsidRPr="00E7339A" w:rsidRDefault="001726C7" w:rsidP="001E22CD">
                  <w:pPr>
                    <w:spacing w:before="100" w:beforeAutospacing="1" w:line="276" w:lineRule="auto"/>
                    <w:ind w:right="2302"/>
                    <w:rPr>
                      <w:rFonts w:eastAsiaTheme="minorEastAsia"/>
                      <w:lang w:eastAsia="en-GB"/>
                    </w:rPr>
                  </w:pPr>
                </w:p>
              </w:tc>
            </w:tr>
            <w:tr w:rsidR="00A74AB8" w:rsidRPr="00E7339A" w14:paraId="67D91A83" w14:textId="77777777" w:rsidTr="00001CE0">
              <w:tc>
                <w:tcPr>
                  <w:tcW w:w="907" w:type="dxa"/>
                </w:tcPr>
                <w:p w14:paraId="712271B2" w14:textId="3065A136" w:rsidR="00A74AB8" w:rsidRPr="00A74AB8" w:rsidRDefault="001726C7" w:rsidP="001E22CD">
                  <w:pPr>
                    <w:spacing w:before="100" w:beforeAutospacing="1" w:line="276" w:lineRule="auto"/>
                    <w:rPr>
                      <w:rFonts w:eastAsiaTheme="minorEastAsia"/>
                      <w:b/>
                      <w:bCs/>
                      <w:lang w:eastAsia="en-GB"/>
                    </w:rPr>
                  </w:pPr>
                  <w:r>
                    <w:rPr>
                      <w:rFonts w:eastAsiaTheme="minorEastAsia"/>
                      <w:b/>
                      <w:bCs/>
                      <w:lang w:eastAsia="en-GB"/>
                    </w:rPr>
                    <w:t>1.3</w:t>
                  </w:r>
                </w:p>
              </w:tc>
              <w:tc>
                <w:tcPr>
                  <w:tcW w:w="7268" w:type="dxa"/>
                </w:tcPr>
                <w:p w14:paraId="7110A674" w14:textId="34C948EF" w:rsidR="00A74AB8" w:rsidRPr="003F4AC2" w:rsidRDefault="003F4AC2" w:rsidP="001E22CD">
                  <w:r w:rsidRPr="003F4AC2">
                    <w:t>D</w:t>
                  </w:r>
                  <w:r w:rsidR="001726C7">
                    <w:t xml:space="preserve">aniel </w:t>
                  </w:r>
                  <w:r w:rsidRPr="003F4AC2">
                    <w:t>Chan</w:t>
                  </w:r>
                  <w:r w:rsidR="000F4A46">
                    <w:t xml:space="preserve"> declared that he also sits on the </w:t>
                  </w:r>
                  <w:r w:rsidRPr="003F4AC2">
                    <w:t xml:space="preserve">CIPFA </w:t>
                  </w:r>
                  <w:r w:rsidR="000F4A46">
                    <w:t>Charities and Public Benefit Entities Board</w:t>
                  </w:r>
                </w:p>
                <w:p w14:paraId="0FE34DED" w14:textId="2B695F3B" w:rsidR="003F4AC2" w:rsidRPr="003F4AC2" w:rsidRDefault="003F4AC2" w:rsidP="001E22CD">
                  <w:r w:rsidRPr="003F4AC2">
                    <w:t>C</w:t>
                  </w:r>
                  <w:r w:rsidR="001726C7">
                    <w:t>aron</w:t>
                  </w:r>
                  <w:r w:rsidR="000F4A46">
                    <w:t xml:space="preserve"> Bradshaw is a</w:t>
                  </w:r>
                  <w:r w:rsidRPr="003F4AC2">
                    <w:t xml:space="preserve"> Country Champion</w:t>
                  </w:r>
                  <w:r w:rsidR="000F4A46">
                    <w:t xml:space="preserve"> for the IFR4NPO project</w:t>
                  </w:r>
                </w:p>
                <w:p w14:paraId="1831FBE9" w14:textId="3A05B334" w:rsidR="003F4AC2" w:rsidRDefault="003F4AC2" w:rsidP="001E22CD">
                  <w:pPr>
                    <w:rPr>
                      <w:b/>
                      <w:bCs/>
                    </w:rPr>
                  </w:pPr>
                  <w:r w:rsidRPr="003F4AC2">
                    <w:t>S</w:t>
                  </w:r>
                  <w:r w:rsidR="001726C7">
                    <w:t>arah</w:t>
                  </w:r>
                  <w:r w:rsidR="000F4A46">
                    <w:t xml:space="preserve"> Sheen is the secretariat of both </w:t>
                  </w:r>
                  <w:r w:rsidR="00A8779B">
                    <w:t xml:space="preserve">the </w:t>
                  </w:r>
                  <w:r w:rsidR="00A8779B" w:rsidRPr="003F4AC2">
                    <w:t>IFR</w:t>
                  </w:r>
                  <w:r w:rsidRPr="003F4AC2">
                    <w:t>4</w:t>
                  </w:r>
                  <w:r w:rsidR="000F4A46">
                    <w:t>N</w:t>
                  </w:r>
                  <w:r w:rsidRPr="003F4AC2">
                    <w:t>P</w:t>
                  </w:r>
                  <w:r w:rsidR="000F4A46">
                    <w:t>O project and the CIPFA Charities and Public Benefit Entities Board.</w:t>
                  </w:r>
                </w:p>
                <w:p w14:paraId="5170B153" w14:textId="09F5079E" w:rsidR="003F4AC2" w:rsidRPr="00A74AB8" w:rsidRDefault="003F4AC2" w:rsidP="001E22CD">
                  <w:pPr>
                    <w:rPr>
                      <w:b/>
                      <w:bCs/>
                    </w:rPr>
                  </w:pPr>
                </w:p>
              </w:tc>
              <w:tc>
                <w:tcPr>
                  <w:tcW w:w="839" w:type="dxa"/>
                  <w:vAlign w:val="center"/>
                </w:tcPr>
                <w:p w14:paraId="6B4F9A23" w14:textId="77777777" w:rsidR="00A74AB8" w:rsidRPr="00E7339A" w:rsidRDefault="00A74AB8" w:rsidP="001E22CD">
                  <w:pPr>
                    <w:spacing w:before="100" w:beforeAutospacing="1" w:line="276" w:lineRule="auto"/>
                    <w:ind w:right="2302"/>
                    <w:rPr>
                      <w:rFonts w:eastAsiaTheme="minorEastAsia"/>
                      <w:lang w:eastAsia="en-GB"/>
                    </w:rPr>
                  </w:pPr>
                </w:p>
              </w:tc>
            </w:tr>
            <w:tr w:rsidR="00A8779B" w:rsidRPr="00E7339A" w14:paraId="37B4D5DB" w14:textId="77777777" w:rsidTr="00001CE0">
              <w:tc>
                <w:tcPr>
                  <w:tcW w:w="907" w:type="dxa"/>
                </w:tcPr>
                <w:p w14:paraId="6783E54D" w14:textId="32579C45" w:rsidR="00A8779B" w:rsidRDefault="00A8779B" w:rsidP="001E22CD">
                  <w:pPr>
                    <w:spacing w:before="100" w:beforeAutospacing="1" w:line="276" w:lineRule="auto"/>
                    <w:rPr>
                      <w:rFonts w:eastAsiaTheme="minorEastAsia"/>
                      <w:b/>
                      <w:lang w:eastAsia="en-GB"/>
                    </w:rPr>
                  </w:pPr>
                  <w:r>
                    <w:rPr>
                      <w:rFonts w:eastAsiaTheme="minorEastAsia"/>
                      <w:b/>
                      <w:lang w:eastAsia="en-GB"/>
                    </w:rPr>
                    <w:t>2.</w:t>
                  </w:r>
                </w:p>
              </w:tc>
              <w:tc>
                <w:tcPr>
                  <w:tcW w:w="7268" w:type="dxa"/>
                </w:tcPr>
                <w:p w14:paraId="4A00AC57" w14:textId="077FFFEB" w:rsidR="00A8779B" w:rsidRDefault="00A8779B" w:rsidP="001726C7">
                  <w:pPr>
                    <w:rPr>
                      <w:b/>
                    </w:rPr>
                  </w:pPr>
                  <w:r>
                    <w:rPr>
                      <w:b/>
                    </w:rPr>
                    <w:t xml:space="preserve">Chair’s update on SORP </w:t>
                  </w:r>
                  <w:r w:rsidR="001726C7">
                    <w:rPr>
                      <w:b/>
                    </w:rPr>
                    <w:t>D</w:t>
                  </w:r>
                  <w:r>
                    <w:rPr>
                      <w:b/>
                    </w:rPr>
                    <w:t>evelopment</w:t>
                  </w:r>
                  <w:r w:rsidR="001726C7">
                    <w:rPr>
                      <w:b/>
                    </w:rPr>
                    <w:t xml:space="preserve"> P</w:t>
                  </w:r>
                  <w:r>
                    <w:rPr>
                      <w:b/>
                    </w:rPr>
                    <w:t>rogramme</w:t>
                  </w:r>
                </w:p>
              </w:tc>
              <w:tc>
                <w:tcPr>
                  <w:tcW w:w="839" w:type="dxa"/>
                  <w:vAlign w:val="bottom"/>
                </w:tcPr>
                <w:p w14:paraId="16E058A1" w14:textId="77777777" w:rsidR="00A8779B" w:rsidRDefault="00A8779B" w:rsidP="001E22CD">
                  <w:pPr>
                    <w:spacing w:before="100" w:beforeAutospacing="1" w:line="276" w:lineRule="auto"/>
                    <w:rPr>
                      <w:rFonts w:eastAsiaTheme="minorEastAsia"/>
                      <w:lang w:eastAsia="en-GB"/>
                    </w:rPr>
                  </w:pPr>
                </w:p>
              </w:tc>
            </w:tr>
            <w:tr w:rsidR="00A8779B" w:rsidRPr="00E7339A" w14:paraId="25232D72" w14:textId="77777777" w:rsidTr="00001CE0">
              <w:tc>
                <w:tcPr>
                  <w:tcW w:w="907" w:type="dxa"/>
                </w:tcPr>
                <w:p w14:paraId="0E363406" w14:textId="05E2C463" w:rsidR="00A8779B" w:rsidRDefault="00A8779B" w:rsidP="001E22CD">
                  <w:pPr>
                    <w:spacing w:before="100" w:beforeAutospacing="1" w:line="276" w:lineRule="auto"/>
                    <w:rPr>
                      <w:rFonts w:eastAsiaTheme="minorEastAsia"/>
                      <w:b/>
                      <w:lang w:eastAsia="en-GB"/>
                    </w:rPr>
                  </w:pPr>
                  <w:r>
                    <w:rPr>
                      <w:rFonts w:eastAsiaTheme="minorEastAsia"/>
                      <w:b/>
                      <w:lang w:eastAsia="en-GB"/>
                    </w:rPr>
                    <w:t>2.1</w:t>
                  </w:r>
                </w:p>
              </w:tc>
              <w:tc>
                <w:tcPr>
                  <w:tcW w:w="7268" w:type="dxa"/>
                </w:tcPr>
                <w:p w14:paraId="519335AC" w14:textId="77777777" w:rsidR="00A8779B" w:rsidRDefault="00A8779B" w:rsidP="00A8779B">
                  <w:pPr>
                    <w:rPr>
                      <w:bCs/>
                    </w:rPr>
                  </w:pPr>
                  <w:r>
                    <w:rPr>
                      <w:bCs/>
                    </w:rPr>
                    <w:t>The Chairs wish the SORP development process to continue to be as transparent as possible. The SORP microsite now contains a page on the site that contains links to the briefings that are sent to the engagement strands. In addition, feedback from the strands will also be attached to the papers as an appendix.</w:t>
                  </w:r>
                </w:p>
                <w:p w14:paraId="177ED75C" w14:textId="7D8C1E82" w:rsidR="00A8779B" w:rsidRDefault="00A8779B" w:rsidP="00A8779B">
                  <w:pPr>
                    <w:rPr>
                      <w:bCs/>
                    </w:rPr>
                  </w:pPr>
                  <w:r>
                    <w:rPr>
                      <w:bCs/>
                    </w:rPr>
                    <w:t>The recommendations of the engagement strands are not published, rather the minutes are a record of the Committee’s discussion.</w:t>
                  </w:r>
                </w:p>
                <w:p w14:paraId="2BB1B74F" w14:textId="70373B7A" w:rsidR="00A8779B" w:rsidRDefault="00A8779B" w:rsidP="001726C7">
                  <w:pPr>
                    <w:rPr>
                      <w:bCs/>
                    </w:rPr>
                  </w:pPr>
                  <w:r>
                    <w:rPr>
                      <w:bCs/>
                    </w:rPr>
                    <w:t xml:space="preserve">The engagement strands are now very busy as anticipated from the very condensed timetable on each of the Briefings on the topics they identified </w:t>
                  </w:r>
                  <w:r w:rsidR="001676D8">
                    <w:rPr>
                      <w:bCs/>
                    </w:rPr>
                    <w:t>(</w:t>
                  </w:r>
                  <w:r>
                    <w:rPr>
                      <w:bCs/>
                    </w:rPr>
                    <w:t xml:space="preserve">as </w:t>
                  </w:r>
                  <w:r w:rsidR="001676D8">
                    <w:rPr>
                      <w:bCs/>
                    </w:rPr>
                    <w:t xml:space="preserve">subsequently </w:t>
                  </w:r>
                  <w:r>
                    <w:rPr>
                      <w:bCs/>
                    </w:rPr>
                    <w:t>agreed by the Committee</w:t>
                  </w:r>
                  <w:r w:rsidR="001676D8">
                    <w:rPr>
                      <w:bCs/>
                    </w:rPr>
                    <w:t>)</w:t>
                  </w:r>
                  <w:r>
                    <w:rPr>
                      <w:bCs/>
                    </w:rPr>
                    <w:t>. The engagement strands will provide feedback on the current SORP making process by the end of this year, in advance of the drafting stage, commencing February 2022.</w:t>
                  </w:r>
                </w:p>
                <w:p w14:paraId="50768B97" w14:textId="3E89132F" w:rsidR="001726C7" w:rsidRDefault="001726C7" w:rsidP="001726C7">
                  <w:pPr>
                    <w:rPr>
                      <w:b/>
                    </w:rPr>
                  </w:pPr>
                </w:p>
              </w:tc>
              <w:tc>
                <w:tcPr>
                  <w:tcW w:w="839" w:type="dxa"/>
                  <w:vAlign w:val="bottom"/>
                </w:tcPr>
                <w:p w14:paraId="6ED60FA5" w14:textId="77777777" w:rsidR="00A8779B" w:rsidRDefault="00A8779B" w:rsidP="001E22CD">
                  <w:pPr>
                    <w:spacing w:before="100" w:beforeAutospacing="1" w:line="276" w:lineRule="auto"/>
                    <w:rPr>
                      <w:rFonts w:eastAsiaTheme="minorEastAsia"/>
                      <w:lang w:eastAsia="en-GB"/>
                    </w:rPr>
                  </w:pPr>
                </w:p>
              </w:tc>
            </w:tr>
            <w:tr w:rsidR="00A8779B" w:rsidRPr="00E7339A" w14:paraId="09944CD5" w14:textId="77777777" w:rsidTr="00001CE0">
              <w:tc>
                <w:tcPr>
                  <w:tcW w:w="907" w:type="dxa"/>
                </w:tcPr>
                <w:p w14:paraId="2F36D5C6" w14:textId="56193EC0" w:rsidR="00A8779B" w:rsidRDefault="00A8779B" w:rsidP="001E22CD">
                  <w:pPr>
                    <w:spacing w:before="100" w:beforeAutospacing="1" w:line="276" w:lineRule="auto"/>
                    <w:rPr>
                      <w:rFonts w:eastAsiaTheme="minorEastAsia"/>
                      <w:b/>
                      <w:lang w:eastAsia="en-GB"/>
                    </w:rPr>
                  </w:pPr>
                  <w:r>
                    <w:rPr>
                      <w:rFonts w:eastAsiaTheme="minorEastAsia"/>
                      <w:b/>
                      <w:lang w:eastAsia="en-GB"/>
                    </w:rPr>
                    <w:t>3.</w:t>
                  </w:r>
                </w:p>
              </w:tc>
              <w:tc>
                <w:tcPr>
                  <w:tcW w:w="7268" w:type="dxa"/>
                </w:tcPr>
                <w:p w14:paraId="65B3DFB9" w14:textId="074851DF" w:rsidR="00A8779B" w:rsidRDefault="00A8779B" w:rsidP="00A8779B">
                  <w:pPr>
                    <w:rPr>
                      <w:bCs/>
                    </w:rPr>
                  </w:pPr>
                  <w:r w:rsidRPr="00630AE7">
                    <w:rPr>
                      <w:b/>
                    </w:rPr>
                    <w:t>Minutes of the meeting of 27 May</w:t>
                  </w:r>
                  <w:r>
                    <w:rPr>
                      <w:b/>
                    </w:rPr>
                    <w:t xml:space="preserve"> 2021</w:t>
                  </w:r>
                </w:p>
              </w:tc>
              <w:tc>
                <w:tcPr>
                  <w:tcW w:w="839" w:type="dxa"/>
                  <w:vAlign w:val="bottom"/>
                </w:tcPr>
                <w:p w14:paraId="409AB165" w14:textId="77777777" w:rsidR="00A8779B" w:rsidRDefault="00A8779B" w:rsidP="001E22CD">
                  <w:pPr>
                    <w:spacing w:before="100" w:beforeAutospacing="1" w:line="276" w:lineRule="auto"/>
                    <w:rPr>
                      <w:rFonts w:eastAsiaTheme="minorEastAsia"/>
                      <w:lang w:eastAsia="en-GB"/>
                    </w:rPr>
                  </w:pPr>
                </w:p>
              </w:tc>
            </w:tr>
            <w:tr w:rsidR="00A8779B" w:rsidRPr="00E7339A" w14:paraId="46C62FF1" w14:textId="77777777" w:rsidTr="00001CE0">
              <w:tc>
                <w:tcPr>
                  <w:tcW w:w="907" w:type="dxa"/>
                </w:tcPr>
                <w:p w14:paraId="749F12F6" w14:textId="0796ACF8" w:rsidR="00A8779B" w:rsidRPr="00A8779B" w:rsidRDefault="00A8779B" w:rsidP="001E22CD">
                  <w:pPr>
                    <w:spacing w:before="100" w:beforeAutospacing="1" w:line="276" w:lineRule="auto"/>
                    <w:rPr>
                      <w:rFonts w:eastAsiaTheme="minorEastAsia"/>
                      <w:bCs/>
                      <w:lang w:eastAsia="en-GB"/>
                    </w:rPr>
                  </w:pPr>
                  <w:r w:rsidRPr="00A8779B">
                    <w:rPr>
                      <w:rFonts w:eastAsiaTheme="minorEastAsia"/>
                      <w:bCs/>
                      <w:lang w:eastAsia="en-GB"/>
                    </w:rPr>
                    <w:t>3.1</w:t>
                  </w:r>
                </w:p>
              </w:tc>
              <w:tc>
                <w:tcPr>
                  <w:tcW w:w="7268" w:type="dxa"/>
                </w:tcPr>
                <w:p w14:paraId="15A767DF" w14:textId="7D462D99" w:rsidR="00A8779B" w:rsidRDefault="00A8779B" w:rsidP="001726C7">
                  <w:pPr>
                    <w:rPr>
                      <w:bCs/>
                    </w:rPr>
                  </w:pPr>
                  <w:r>
                    <w:rPr>
                      <w:bCs/>
                    </w:rPr>
                    <w:t>D</w:t>
                  </w:r>
                  <w:r w:rsidR="001726C7">
                    <w:rPr>
                      <w:bCs/>
                    </w:rPr>
                    <w:t xml:space="preserve">aniel </w:t>
                  </w:r>
                  <w:r>
                    <w:rPr>
                      <w:bCs/>
                    </w:rPr>
                    <w:t>C</w:t>
                  </w:r>
                  <w:r w:rsidR="001726C7">
                    <w:rPr>
                      <w:bCs/>
                    </w:rPr>
                    <w:t>han</w:t>
                  </w:r>
                  <w:r>
                    <w:rPr>
                      <w:bCs/>
                    </w:rPr>
                    <w:t xml:space="preserve"> wished to include the declarations of interest as mentioned earlier</w:t>
                  </w:r>
                  <w:r w:rsidR="001676D8">
                    <w:rPr>
                      <w:bCs/>
                    </w:rPr>
                    <w:t>,</w:t>
                  </w:r>
                  <w:r>
                    <w:rPr>
                      <w:bCs/>
                    </w:rPr>
                    <w:t xml:space="preserve"> in </w:t>
                  </w:r>
                  <w:r w:rsidR="001726C7">
                    <w:rPr>
                      <w:bCs/>
                    </w:rPr>
                    <w:t>minute</w:t>
                  </w:r>
                  <w:r>
                    <w:rPr>
                      <w:bCs/>
                    </w:rPr>
                    <w:t xml:space="preserve"> 1.</w:t>
                  </w:r>
                  <w:r w:rsidR="001726C7">
                    <w:rPr>
                      <w:bCs/>
                    </w:rPr>
                    <w:t>3</w:t>
                  </w:r>
                  <w:r w:rsidR="001676D8">
                    <w:rPr>
                      <w:bCs/>
                    </w:rPr>
                    <w:t>,</w:t>
                  </w:r>
                  <w:r>
                    <w:rPr>
                      <w:bCs/>
                    </w:rPr>
                    <w:t xml:space="preserve"> to be also added as to the declarations section of this meeting.</w:t>
                  </w:r>
                </w:p>
              </w:tc>
              <w:tc>
                <w:tcPr>
                  <w:tcW w:w="839" w:type="dxa"/>
                  <w:vAlign w:val="bottom"/>
                </w:tcPr>
                <w:p w14:paraId="52489D45" w14:textId="77777777" w:rsidR="00A8779B" w:rsidRDefault="00A8779B" w:rsidP="001E22CD">
                  <w:pPr>
                    <w:spacing w:before="100" w:beforeAutospacing="1" w:line="276" w:lineRule="auto"/>
                    <w:rPr>
                      <w:rFonts w:eastAsiaTheme="minorEastAsia"/>
                      <w:lang w:eastAsia="en-GB"/>
                    </w:rPr>
                  </w:pPr>
                </w:p>
              </w:tc>
            </w:tr>
            <w:tr w:rsidR="00B122D1" w:rsidRPr="00E7339A" w14:paraId="37C7277E" w14:textId="77777777" w:rsidTr="00001CE0">
              <w:tc>
                <w:tcPr>
                  <w:tcW w:w="907" w:type="dxa"/>
                </w:tcPr>
                <w:p w14:paraId="3E53CCF8" w14:textId="53CE14BB" w:rsidR="00B122D1" w:rsidRDefault="00B122D1" w:rsidP="00B122D1">
                  <w:pPr>
                    <w:spacing w:before="100" w:beforeAutospacing="1" w:line="276" w:lineRule="auto"/>
                    <w:rPr>
                      <w:rFonts w:eastAsiaTheme="minorEastAsia"/>
                      <w:b/>
                      <w:lang w:eastAsia="en-GB"/>
                    </w:rPr>
                  </w:pPr>
                  <w:r w:rsidRPr="00A8779B">
                    <w:rPr>
                      <w:rFonts w:eastAsiaTheme="minorEastAsia"/>
                      <w:bCs/>
                      <w:lang w:eastAsia="en-GB"/>
                    </w:rPr>
                    <w:t>3.2</w:t>
                  </w:r>
                </w:p>
              </w:tc>
              <w:tc>
                <w:tcPr>
                  <w:tcW w:w="7268" w:type="dxa"/>
                </w:tcPr>
                <w:p w14:paraId="37C1D07A" w14:textId="77777777" w:rsidR="00B122D1" w:rsidRDefault="00B122D1" w:rsidP="00B122D1">
                  <w:pPr>
                    <w:rPr>
                      <w:b/>
                    </w:rPr>
                  </w:pPr>
                  <w:r>
                    <w:rPr>
                      <w:b/>
                    </w:rPr>
                    <w:t>Minute</w:t>
                  </w:r>
                  <w:r w:rsidRPr="00630AE7">
                    <w:rPr>
                      <w:b/>
                    </w:rPr>
                    <w:t xml:space="preserve"> 3.1</w:t>
                  </w:r>
                </w:p>
                <w:p w14:paraId="21679EAE" w14:textId="77777777" w:rsidR="00B122D1" w:rsidRPr="00A8779B" w:rsidRDefault="00B122D1" w:rsidP="00B122D1">
                  <w:pPr>
                    <w:rPr>
                      <w:b/>
                    </w:rPr>
                  </w:pPr>
                  <w:r w:rsidRPr="00A8779B">
                    <w:rPr>
                      <w:bCs/>
                    </w:rPr>
                    <w:lastRenderedPageBreak/>
                    <w:t>“</w:t>
                  </w:r>
                  <w:r w:rsidRPr="001676D8">
                    <w:rPr>
                      <w:i/>
                      <w:iCs/>
                    </w:rPr>
                    <w:t>The key users are the beneficiaries/service users and that the drafting aim should be amended to reflect this</w:t>
                  </w:r>
                  <w:r>
                    <w:t>.”</w:t>
                  </w:r>
                </w:p>
                <w:p w14:paraId="1F3F4232" w14:textId="52F27030" w:rsidR="00B122D1" w:rsidRDefault="00B122D1" w:rsidP="00B122D1">
                  <w:pPr>
                    <w:rPr>
                      <w:bCs/>
                    </w:rPr>
                  </w:pPr>
                  <w:r>
                    <w:rPr>
                      <w:bCs/>
                    </w:rPr>
                    <w:t xml:space="preserve">The Committee considered that the order of this minute should be </w:t>
                  </w:r>
                  <w:r w:rsidR="001676D8">
                    <w:rPr>
                      <w:bCs/>
                    </w:rPr>
                    <w:t>changed to</w:t>
                  </w:r>
                  <w:r>
                    <w:rPr>
                      <w:bCs/>
                    </w:rPr>
                    <w:t xml:space="preserve"> say, “the beneficiaries are the service users in many charities”.</w:t>
                  </w:r>
                </w:p>
                <w:p w14:paraId="58DB287E" w14:textId="77777777" w:rsidR="00B122D1" w:rsidRDefault="00B122D1" w:rsidP="00B122D1">
                  <w:pPr>
                    <w:rPr>
                      <w:bCs/>
                    </w:rPr>
                  </w:pPr>
                  <w:r>
                    <w:rPr>
                      <w:bCs/>
                    </w:rPr>
                    <w:t xml:space="preserve">In addition, the Committee was of the view that the following should be added </w:t>
                  </w:r>
                  <w:proofErr w:type="spellStart"/>
                  <w:proofErr w:type="gramStart"/>
                  <w:r>
                    <w:rPr>
                      <w:bCs/>
                    </w:rPr>
                    <w:t>ie</w:t>
                  </w:r>
                  <w:proofErr w:type="spellEnd"/>
                  <w:proofErr w:type="gramEnd"/>
                  <w:r>
                    <w:rPr>
                      <w:bCs/>
                    </w:rPr>
                    <w:t xml:space="preserve"> “It is recognised that the focus of charities should always be the service users”</w:t>
                  </w:r>
                </w:p>
                <w:p w14:paraId="6AAD49AE" w14:textId="77777777" w:rsidR="00B122D1" w:rsidRPr="003F154B" w:rsidRDefault="00B122D1" w:rsidP="00B122D1">
                  <w:pPr>
                    <w:rPr>
                      <w:b/>
                    </w:rPr>
                  </w:pPr>
                  <w:r>
                    <w:rPr>
                      <w:b/>
                    </w:rPr>
                    <w:t xml:space="preserve">Minute 4.1 </w:t>
                  </w:r>
                  <w:r w:rsidRPr="003F154B">
                    <w:rPr>
                      <w:b/>
                    </w:rPr>
                    <w:t>last bullet point on the list (of section 4.1)</w:t>
                  </w:r>
                </w:p>
                <w:p w14:paraId="14F0853C" w14:textId="77777777" w:rsidR="00B122D1" w:rsidRDefault="00B122D1" w:rsidP="00B122D1">
                  <w:r>
                    <w:t xml:space="preserve">“A view was expressed that charities’ focus should be its beneficiaries, therefore there needs to be an overwhelming case to increase the number of tiers.” </w:t>
                  </w:r>
                </w:p>
                <w:p w14:paraId="6A340D49" w14:textId="77777777" w:rsidR="00B122D1" w:rsidRDefault="00B122D1" w:rsidP="00B122D1">
                  <w:pPr>
                    <w:rPr>
                      <w:bCs/>
                    </w:rPr>
                  </w:pPr>
                  <w:r>
                    <w:t>The Committee decided that this bullet should be deleted.</w:t>
                  </w:r>
                </w:p>
                <w:p w14:paraId="2FEB19CA" w14:textId="6B106DAC" w:rsidR="00B122D1" w:rsidRDefault="00B122D1" w:rsidP="00B122D1">
                  <w:pPr>
                    <w:rPr>
                      <w:b/>
                    </w:rPr>
                  </w:pPr>
                  <w:r>
                    <w:rPr>
                      <w:bCs/>
                    </w:rPr>
                    <w:t>Subject to the amendments outlined above the Committee agreed the minutes were an accurate record of the last meeting.</w:t>
                  </w:r>
                </w:p>
              </w:tc>
              <w:tc>
                <w:tcPr>
                  <w:tcW w:w="839" w:type="dxa"/>
                  <w:vAlign w:val="bottom"/>
                </w:tcPr>
                <w:p w14:paraId="69493019" w14:textId="77777777" w:rsidR="00B122D1" w:rsidRDefault="00B122D1" w:rsidP="00B122D1">
                  <w:pPr>
                    <w:spacing w:before="100" w:beforeAutospacing="1" w:line="276" w:lineRule="auto"/>
                    <w:rPr>
                      <w:rFonts w:eastAsiaTheme="minorEastAsia"/>
                      <w:lang w:eastAsia="en-GB"/>
                    </w:rPr>
                  </w:pPr>
                </w:p>
              </w:tc>
            </w:tr>
            <w:tr w:rsidR="00B122D1" w:rsidRPr="00E7339A" w14:paraId="53C4F63B" w14:textId="77777777" w:rsidTr="00001CE0">
              <w:tc>
                <w:tcPr>
                  <w:tcW w:w="907" w:type="dxa"/>
                </w:tcPr>
                <w:p w14:paraId="4A43C2FB" w14:textId="64088A67" w:rsidR="00B122D1" w:rsidRPr="00A8779B" w:rsidRDefault="00B122D1" w:rsidP="001E22CD">
                  <w:pPr>
                    <w:spacing w:before="100" w:beforeAutospacing="1" w:line="276" w:lineRule="auto"/>
                    <w:rPr>
                      <w:rFonts w:eastAsiaTheme="minorEastAsia"/>
                      <w:bCs/>
                      <w:lang w:eastAsia="en-GB"/>
                    </w:rPr>
                  </w:pPr>
                  <w:r>
                    <w:rPr>
                      <w:rFonts w:eastAsiaTheme="minorEastAsia"/>
                      <w:bCs/>
                      <w:lang w:eastAsia="en-GB"/>
                    </w:rPr>
                    <w:t>3.3</w:t>
                  </w:r>
                </w:p>
              </w:tc>
              <w:tc>
                <w:tcPr>
                  <w:tcW w:w="7268" w:type="dxa"/>
                </w:tcPr>
                <w:p w14:paraId="249BF97E" w14:textId="2234C911" w:rsidR="00B122D1" w:rsidRDefault="00B122D1" w:rsidP="001726C7">
                  <w:pPr>
                    <w:rPr>
                      <w:b/>
                    </w:rPr>
                  </w:pPr>
                  <w:r>
                    <w:rPr>
                      <w:b/>
                      <w:bCs/>
                    </w:rPr>
                    <w:t xml:space="preserve">Matters Arising 1: </w:t>
                  </w:r>
                  <w:r w:rsidRPr="003F154B">
                    <w:rPr>
                      <w:b/>
                      <w:bCs/>
                    </w:rPr>
                    <w:t>Action in respect of the Aims of the SORP drafting process</w:t>
                  </w:r>
                </w:p>
              </w:tc>
              <w:tc>
                <w:tcPr>
                  <w:tcW w:w="839" w:type="dxa"/>
                  <w:vAlign w:val="bottom"/>
                </w:tcPr>
                <w:p w14:paraId="0EBF163E" w14:textId="77777777" w:rsidR="00B122D1" w:rsidRDefault="00B122D1" w:rsidP="001E22CD">
                  <w:pPr>
                    <w:spacing w:before="100" w:beforeAutospacing="1" w:line="276" w:lineRule="auto"/>
                    <w:rPr>
                      <w:rFonts w:eastAsiaTheme="minorEastAsia"/>
                      <w:lang w:eastAsia="en-GB"/>
                    </w:rPr>
                  </w:pPr>
                </w:p>
              </w:tc>
            </w:tr>
            <w:tr w:rsidR="00A8779B" w:rsidRPr="00E7339A" w14:paraId="40515277" w14:textId="77777777" w:rsidTr="00001CE0">
              <w:tc>
                <w:tcPr>
                  <w:tcW w:w="907" w:type="dxa"/>
                </w:tcPr>
                <w:p w14:paraId="7BAE34E2" w14:textId="21E0678F" w:rsidR="00A8779B" w:rsidRPr="00A8779B" w:rsidDel="00A8779B" w:rsidRDefault="00B122D1" w:rsidP="001E22CD">
                  <w:pPr>
                    <w:spacing w:before="100" w:beforeAutospacing="1" w:line="276" w:lineRule="auto"/>
                    <w:rPr>
                      <w:rFonts w:eastAsiaTheme="minorEastAsia"/>
                      <w:bCs/>
                      <w:lang w:eastAsia="en-GB"/>
                    </w:rPr>
                  </w:pPr>
                  <w:r>
                    <w:rPr>
                      <w:rFonts w:eastAsiaTheme="minorEastAsia"/>
                      <w:bCs/>
                      <w:lang w:eastAsia="en-GB"/>
                    </w:rPr>
                    <w:t>3.4</w:t>
                  </w:r>
                </w:p>
              </w:tc>
              <w:tc>
                <w:tcPr>
                  <w:tcW w:w="7268" w:type="dxa"/>
                </w:tcPr>
                <w:p w14:paraId="5EE6D2AE" w14:textId="31402740" w:rsidR="00A8779B" w:rsidRDefault="00B122D1" w:rsidP="001726C7">
                  <w:pPr>
                    <w:rPr>
                      <w:bCs/>
                    </w:rPr>
                  </w:pPr>
                  <w:r>
                    <w:rPr>
                      <w:bCs/>
                    </w:rPr>
                    <w:t>An email was circulated on 7 July 2021 welcoming comments from the Committee on the redrafting of text</w:t>
                  </w:r>
                  <w:r w:rsidR="001676D8">
                    <w:rPr>
                      <w:bCs/>
                    </w:rPr>
                    <w:t>,</w:t>
                  </w:r>
                  <w:r>
                    <w:rPr>
                      <w:bCs/>
                    </w:rPr>
                    <w:t xml:space="preserve"> a rewording of Aim 1. Comments</w:t>
                  </w:r>
                  <w:r w:rsidR="001676D8">
                    <w:rPr>
                      <w:bCs/>
                    </w:rPr>
                    <w:t xml:space="preserve"> from Committee members </w:t>
                  </w:r>
                  <w:r>
                    <w:rPr>
                      <w:bCs/>
                    </w:rPr>
                    <w:t>are welcome</w:t>
                  </w:r>
                  <w:r w:rsidR="001676D8">
                    <w:rPr>
                      <w:bCs/>
                    </w:rPr>
                    <w:t xml:space="preserve">. </w:t>
                  </w:r>
                  <w:r w:rsidR="005C5193">
                    <w:rPr>
                      <w:bCs/>
                    </w:rPr>
                    <w:t>They should</w:t>
                  </w:r>
                  <w:r w:rsidR="001676D8">
                    <w:rPr>
                      <w:bCs/>
                    </w:rPr>
                    <w:t xml:space="preserve"> be submitted </w:t>
                  </w:r>
                  <w:r>
                    <w:rPr>
                      <w:bCs/>
                    </w:rPr>
                    <w:t>to the Chair by the end of the month.</w:t>
                  </w:r>
                </w:p>
                <w:p w14:paraId="652FBB09" w14:textId="0238FA4B" w:rsidR="001726C7" w:rsidDel="00A8779B" w:rsidRDefault="001726C7" w:rsidP="001726C7">
                  <w:pPr>
                    <w:rPr>
                      <w:b/>
                    </w:rPr>
                  </w:pPr>
                </w:p>
              </w:tc>
              <w:tc>
                <w:tcPr>
                  <w:tcW w:w="839" w:type="dxa"/>
                  <w:vAlign w:val="bottom"/>
                </w:tcPr>
                <w:p w14:paraId="732728B3" w14:textId="77777777" w:rsidR="00A8779B" w:rsidRDefault="00A8779B" w:rsidP="001E22CD">
                  <w:pPr>
                    <w:spacing w:before="100" w:beforeAutospacing="1" w:line="276" w:lineRule="auto"/>
                    <w:rPr>
                      <w:rFonts w:eastAsiaTheme="minorEastAsia"/>
                      <w:lang w:eastAsia="en-GB"/>
                    </w:rPr>
                  </w:pPr>
                </w:p>
              </w:tc>
            </w:tr>
            <w:tr w:rsidR="00B122D1" w:rsidRPr="00E7339A" w14:paraId="396C18C8" w14:textId="77777777" w:rsidTr="00001CE0">
              <w:tc>
                <w:tcPr>
                  <w:tcW w:w="907" w:type="dxa"/>
                </w:tcPr>
                <w:p w14:paraId="164D6746" w14:textId="7FA02754" w:rsidR="00B122D1" w:rsidRDefault="00B122D1" w:rsidP="001E22CD">
                  <w:pPr>
                    <w:spacing w:before="100" w:beforeAutospacing="1" w:line="276" w:lineRule="auto"/>
                    <w:rPr>
                      <w:rFonts w:eastAsiaTheme="minorEastAsia"/>
                      <w:bCs/>
                      <w:lang w:eastAsia="en-GB"/>
                    </w:rPr>
                  </w:pPr>
                  <w:r>
                    <w:rPr>
                      <w:rFonts w:eastAsiaTheme="minorEastAsia"/>
                      <w:bCs/>
                      <w:lang w:eastAsia="en-GB"/>
                    </w:rPr>
                    <w:t>3.5</w:t>
                  </w:r>
                </w:p>
              </w:tc>
              <w:tc>
                <w:tcPr>
                  <w:tcW w:w="7268" w:type="dxa"/>
                </w:tcPr>
                <w:p w14:paraId="327F9F81" w14:textId="582D4955" w:rsidR="00B122D1" w:rsidRDefault="00B122D1" w:rsidP="001726C7">
                  <w:pPr>
                    <w:rPr>
                      <w:bCs/>
                    </w:rPr>
                  </w:pPr>
                  <w:r w:rsidRPr="003F154B">
                    <w:rPr>
                      <w:b/>
                    </w:rPr>
                    <w:t>Matters arising</w:t>
                  </w:r>
                  <w:r>
                    <w:rPr>
                      <w:b/>
                    </w:rPr>
                    <w:t xml:space="preserve"> 2: Response to IFR4NPO Consultation Part 1</w:t>
                  </w:r>
                </w:p>
              </w:tc>
              <w:tc>
                <w:tcPr>
                  <w:tcW w:w="839" w:type="dxa"/>
                  <w:vAlign w:val="bottom"/>
                </w:tcPr>
                <w:p w14:paraId="6516DEBE" w14:textId="77777777" w:rsidR="00B122D1" w:rsidRDefault="00B122D1" w:rsidP="001E22CD">
                  <w:pPr>
                    <w:spacing w:before="100" w:beforeAutospacing="1" w:line="276" w:lineRule="auto"/>
                    <w:rPr>
                      <w:rFonts w:eastAsiaTheme="minorEastAsia"/>
                      <w:lang w:eastAsia="en-GB"/>
                    </w:rPr>
                  </w:pPr>
                </w:p>
              </w:tc>
            </w:tr>
            <w:tr w:rsidR="00B122D1" w:rsidRPr="00E7339A" w14:paraId="11B1BA07" w14:textId="77777777" w:rsidTr="00001CE0">
              <w:tc>
                <w:tcPr>
                  <w:tcW w:w="907" w:type="dxa"/>
                </w:tcPr>
                <w:p w14:paraId="3C61E052" w14:textId="3AEE7899" w:rsidR="00B122D1" w:rsidRDefault="00B122D1" w:rsidP="001E22CD">
                  <w:pPr>
                    <w:spacing w:before="100" w:beforeAutospacing="1" w:line="276" w:lineRule="auto"/>
                    <w:rPr>
                      <w:rFonts w:eastAsiaTheme="minorEastAsia"/>
                      <w:bCs/>
                      <w:lang w:eastAsia="en-GB"/>
                    </w:rPr>
                  </w:pPr>
                  <w:r>
                    <w:rPr>
                      <w:rFonts w:eastAsiaTheme="minorEastAsia"/>
                      <w:bCs/>
                      <w:lang w:eastAsia="en-GB"/>
                    </w:rPr>
                    <w:t>3.6</w:t>
                  </w:r>
                </w:p>
              </w:tc>
              <w:tc>
                <w:tcPr>
                  <w:tcW w:w="7268" w:type="dxa"/>
                </w:tcPr>
                <w:p w14:paraId="653BC4B3" w14:textId="3BB619DF" w:rsidR="00B122D1" w:rsidRDefault="00B122D1" w:rsidP="00B122D1">
                  <w:pPr>
                    <w:rPr>
                      <w:bCs/>
                    </w:rPr>
                  </w:pPr>
                  <w:r>
                    <w:rPr>
                      <w:bCs/>
                    </w:rPr>
                    <w:t xml:space="preserve">The joint Chairs will be issuing a response regarding IFR4NPO Part </w:t>
                  </w:r>
                  <w:r w:rsidR="001676D8">
                    <w:rPr>
                      <w:bCs/>
                    </w:rPr>
                    <w:t>1. T</w:t>
                  </w:r>
                  <w:r>
                    <w:rPr>
                      <w:bCs/>
                    </w:rPr>
                    <w:t xml:space="preserve">his response will be circulated to members </w:t>
                  </w:r>
                  <w:r w:rsidR="00B035E4">
                    <w:rPr>
                      <w:bCs/>
                    </w:rPr>
                    <w:t>by</w:t>
                  </w:r>
                  <w:r>
                    <w:rPr>
                      <w:bCs/>
                    </w:rPr>
                    <w:t xml:space="preserve"> Friday 9 July 2021. Members w</w:t>
                  </w:r>
                  <w:r w:rsidR="00B035E4">
                    <w:rPr>
                      <w:bCs/>
                    </w:rPr>
                    <w:t>ill</w:t>
                  </w:r>
                  <w:r>
                    <w:rPr>
                      <w:bCs/>
                    </w:rPr>
                    <w:t xml:space="preserve"> be invited to provide comments but otherwise</w:t>
                  </w:r>
                  <w:r w:rsidR="008C0287">
                    <w:rPr>
                      <w:bCs/>
                    </w:rPr>
                    <w:t>,</w:t>
                  </w:r>
                  <w:r>
                    <w:rPr>
                      <w:bCs/>
                    </w:rPr>
                    <w:t xml:space="preserve"> there was no obligation to consider the response as a </w:t>
                  </w:r>
                  <w:r w:rsidR="001676D8">
                    <w:rPr>
                      <w:bCs/>
                    </w:rPr>
                    <w:t>committee</w:t>
                  </w:r>
                  <w:r>
                    <w:rPr>
                      <w:bCs/>
                    </w:rPr>
                    <w:t xml:space="preserve"> member. The joint Chairs will be responding by the deadline on 30 July 2021 and so all comments would be appreciated by 26 July.</w:t>
                  </w:r>
                </w:p>
                <w:p w14:paraId="11E7740C" w14:textId="5C6336D7" w:rsidR="001726C7" w:rsidRDefault="001726C7" w:rsidP="00B122D1">
                  <w:pPr>
                    <w:rPr>
                      <w:bCs/>
                    </w:rPr>
                  </w:pPr>
                </w:p>
              </w:tc>
              <w:tc>
                <w:tcPr>
                  <w:tcW w:w="839" w:type="dxa"/>
                  <w:vAlign w:val="bottom"/>
                </w:tcPr>
                <w:p w14:paraId="775BA40F" w14:textId="77777777" w:rsidR="00B122D1" w:rsidRDefault="00B122D1" w:rsidP="001E22CD">
                  <w:pPr>
                    <w:spacing w:before="100" w:beforeAutospacing="1" w:line="276" w:lineRule="auto"/>
                    <w:rPr>
                      <w:rFonts w:eastAsiaTheme="minorEastAsia"/>
                      <w:lang w:eastAsia="en-GB"/>
                    </w:rPr>
                  </w:pPr>
                </w:p>
              </w:tc>
            </w:tr>
            <w:tr w:rsidR="00B122D1" w:rsidRPr="00E7339A" w14:paraId="2072D3DC" w14:textId="77777777" w:rsidTr="00001CE0">
              <w:tc>
                <w:tcPr>
                  <w:tcW w:w="907" w:type="dxa"/>
                </w:tcPr>
                <w:p w14:paraId="57CA5A3F" w14:textId="4AAF41B1" w:rsidR="00B122D1" w:rsidRPr="00F576F6" w:rsidRDefault="00F57BC8" w:rsidP="00B122D1">
                  <w:pPr>
                    <w:spacing w:before="100" w:beforeAutospacing="1" w:line="276" w:lineRule="auto"/>
                    <w:rPr>
                      <w:rFonts w:eastAsiaTheme="minorEastAsia"/>
                      <w:b/>
                      <w:bCs/>
                      <w:lang w:eastAsia="en-GB"/>
                    </w:rPr>
                  </w:pPr>
                  <w:r>
                    <w:rPr>
                      <w:rFonts w:eastAsiaTheme="minorEastAsia"/>
                      <w:b/>
                      <w:bCs/>
                      <w:lang w:eastAsia="en-GB"/>
                    </w:rPr>
                    <w:t>4</w:t>
                  </w:r>
                </w:p>
              </w:tc>
              <w:tc>
                <w:tcPr>
                  <w:tcW w:w="7268" w:type="dxa"/>
                </w:tcPr>
                <w:p w14:paraId="08F5086B" w14:textId="052EA1A3" w:rsidR="00B122D1" w:rsidRPr="00044AD1" w:rsidRDefault="00B122D1" w:rsidP="007E4E33">
                  <w:pPr>
                    <w:rPr>
                      <w:b/>
                      <w:bCs/>
                    </w:rPr>
                  </w:pPr>
                  <w:r>
                    <w:rPr>
                      <w:b/>
                      <w:bCs/>
                    </w:rPr>
                    <w:t>Paper 2</w:t>
                  </w:r>
                  <w:r w:rsidR="007E4E33">
                    <w:rPr>
                      <w:b/>
                      <w:bCs/>
                    </w:rPr>
                    <w:t>:</w:t>
                  </w:r>
                  <w:r>
                    <w:rPr>
                      <w:b/>
                      <w:bCs/>
                    </w:rPr>
                    <w:t xml:space="preserve"> Agreeing a way forward on reserves</w:t>
                  </w:r>
                </w:p>
              </w:tc>
              <w:tc>
                <w:tcPr>
                  <w:tcW w:w="839" w:type="dxa"/>
                  <w:vAlign w:val="bottom"/>
                </w:tcPr>
                <w:p w14:paraId="3B50A911" w14:textId="77777777" w:rsidR="00B122D1" w:rsidRDefault="00B122D1" w:rsidP="00B122D1">
                  <w:pPr>
                    <w:spacing w:before="100" w:beforeAutospacing="1" w:line="276" w:lineRule="auto"/>
                    <w:rPr>
                      <w:rFonts w:eastAsiaTheme="minorEastAsia"/>
                      <w:lang w:eastAsia="en-GB"/>
                    </w:rPr>
                  </w:pPr>
                </w:p>
              </w:tc>
            </w:tr>
            <w:tr w:rsidR="00B122D1" w:rsidRPr="00E7339A" w14:paraId="1285A26A" w14:textId="77777777" w:rsidTr="00001CE0">
              <w:tc>
                <w:tcPr>
                  <w:tcW w:w="907" w:type="dxa"/>
                </w:tcPr>
                <w:p w14:paraId="45E10775" w14:textId="58A6E3AF" w:rsidR="00B122D1" w:rsidRDefault="00F57BC8" w:rsidP="00B122D1">
                  <w:pPr>
                    <w:spacing w:before="100" w:beforeAutospacing="1" w:line="276" w:lineRule="auto"/>
                    <w:rPr>
                      <w:rFonts w:eastAsiaTheme="minorEastAsia"/>
                      <w:lang w:eastAsia="en-GB"/>
                    </w:rPr>
                  </w:pPr>
                  <w:r>
                    <w:rPr>
                      <w:rFonts w:eastAsiaTheme="minorEastAsia"/>
                      <w:lang w:eastAsia="en-GB"/>
                    </w:rPr>
                    <w:t>4</w:t>
                  </w:r>
                  <w:r w:rsidR="00B122D1">
                    <w:rPr>
                      <w:rFonts w:eastAsiaTheme="minorEastAsia"/>
                      <w:lang w:eastAsia="en-GB"/>
                    </w:rPr>
                    <w:t>.1</w:t>
                  </w:r>
                </w:p>
              </w:tc>
              <w:tc>
                <w:tcPr>
                  <w:tcW w:w="7268" w:type="dxa"/>
                </w:tcPr>
                <w:p w14:paraId="1480ED01" w14:textId="4EFF1A58" w:rsidR="00B122D1" w:rsidRDefault="00B122D1" w:rsidP="00B122D1">
                  <w:r>
                    <w:t>The Chair reminded the Committee of the need to consider whether there is a case for change. If so where did this direct SORP development.</w:t>
                  </w:r>
                </w:p>
                <w:p w14:paraId="3110F816" w14:textId="2BA29343" w:rsidR="00B122D1" w:rsidRDefault="00B122D1" w:rsidP="00B122D1">
                  <w:r>
                    <w:t>The joint chair explained that, although the Committee would normally be able to expect CIPFA to collate the feedback, as part of this process the Chairs are trying to manage the workload between the</w:t>
                  </w:r>
                  <w:r w:rsidR="008C0287">
                    <w:t>m</w:t>
                  </w:r>
                  <w:r>
                    <w:t xml:space="preserve"> and CIPFA. </w:t>
                  </w:r>
                </w:p>
                <w:p w14:paraId="64E7FB6D" w14:textId="1579A46B" w:rsidR="00B122D1" w:rsidRDefault="00B122D1" w:rsidP="00F57BC8">
                  <w:r>
                    <w:t xml:space="preserve">As a general observation </w:t>
                  </w:r>
                  <w:r w:rsidR="00384E42">
                    <w:t>on</w:t>
                  </w:r>
                  <w:r>
                    <w:t xml:space="preserve"> this </w:t>
                  </w:r>
                  <w:r w:rsidR="00B441C6">
                    <w:t>topic,</w:t>
                  </w:r>
                  <w:r>
                    <w:t xml:space="preserve"> it was surprising how much conformity there is across the </w:t>
                  </w:r>
                  <w:r w:rsidR="00384E42">
                    <w:t xml:space="preserve">engagement </w:t>
                  </w:r>
                  <w:r>
                    <w:t>strands</w:t>
                  </w:r>
                  <w:r w:rsidR="00384E42">
                    <w:t xml:space="preserve"> though</w:t>
                  </w:r>
                  <w:r>
                    <w:t xml:space="preserve"> not all comments are supportive around the</w:t>
                  </w:r>
                  <w:r w:rsidR="00384E42">
                    <w:t xml:space="preserve"> current position in the</w:t>
                  </w:r>
                  <w:r>
                    <w:t xml:space="preserve"> SORP.</w:t>
                  </w:r>
                </w:p>
              </w:tc>
              <w:tc>
                <w:tcPr>
                  <w:tcW w:w="839" w:type="dxa"/>
                  <w:vAlign w:val="bottom"/>
                </w:tcPr>
                <w:p w14:paraId="32A58254" w14:textId="77777777" w:rsidR="00B122D1" w:rsidRDefault="00B122D1" w:rsidP="00B122D1">
                  <w:pPr>
                    <w:spacing w:before="100" w:beforeAutospacing="1" w:line="276" w:lineRule="auto"/>
                    <w:rPr>
                      <w:rFonts w:eastAsiaTheme="minorEastAsia"/>
                      <w:lang w:eastAsia="en-GB"/>
                    </w:rPr>
                  </w:pPr>
                </w:p>
              </w:tc>
            </w:tr>
            <w:tr w:rsidR="00716041" w:rsidRPr="00E7339A" w14:paraId="76BA5A12" w14:textId="77777777" w:rsidTr="00001CE0">
              <w:tc>
                <w:tcPr>
                  <w:tcW w:w="907" w:type="dxa"/>
                </w:tcPr>
                <w:p w14:paraId="3B22D1E6" w14:textId="3DFA0429" w:rsidR="00716041" w:rsidRDefault="00F57BC8" w:rsidP="00B122D1">
                  <w:pPr>
                    <w:spacing w:before="100" w:beforeAutospacing="1" w:line="276" w:lineRule="auto"/>
                    <w:rPr>
                      <w:rFonts w:eastAsiaTheme="minorEastAsia"/>
                      <w:lang w:eastAsia="en-GB"/>
                    </w:rPr>
                  </w:pPr>
                  <w:r>
                    <w:rPr>
                      <w:rFonts w:eastAsiaTheme="minorEastAsia"/>
                      <w:lang w:eastAsia="en-GB"/>
                    </w:rPr>
                    <w:t>4</w:t>
                  </w:r>
                  <w:r w:rsidR="00716041">
                    <w:rPr>
                      <w:rFonts w:eastAsiaTheme="minorEastAsia"/>
                      <w:lang w:eastAsia="en-GB"/>
                    </w:rPr>
                    <w:t>.2</w:t>
                  </w:r>
                </w:p>
              </w:tc>
              <w:tc>
                <w:tcPr>
                  <w:tcW w:w="7268" w:type="dxa"/>
                </w:tcPr>
                <w:p w14:paraId="41DB2BF6" w14:textId="2503A595" w:rsidR="00716041" w:rsidRDefault="00716041" w:rsidP="00F57BC8">
                  <w:r w:rsidRPr="00F57BC8">
                    <w:rPr>
                      <w:b/>
                      <w:bCs/>
                    </w:rPr>
                    <w:t>Definition</w:t>
                  </w:r>
                  <w:r w:rsidR="00771C1C" w:rsidRPr="00F57BC8">
                    <w:rPr>
                      <w:b/>
                      <w:bCs/>
                    </w:rPr>
                    <w:t xml:space="preserve"> of Reserves</w:t>
                  </w:r>
                </w:p>
              </w:tc>
              <w:tc>
                <w:tcPr>
                  <w:tcW w:w="839" w:type="dxa"/>
                  <w:vAlign w:val="bottom"/>
                </w:tcPr>
                <w:p w14:paraId="10325A2E" w14:textId="77777777" w:rsidR="00716041" w:rsidRDefault="00716041" w:rsidP="00B122D1">
                  <w:pPr>
                    <w:spacing w:before="100" w:beforeAutospacing="1" w:line="276" w:lineRule="auto"/>
                    <w:rPr>
                      <w:rFonts w:eastAsiaTheme="minorEastAsia"/>
                      <w:lang w:eastAsia="en-GB"/>
                    </w:rPr>
                  </w:pPr>
                </w:p>
              </w:tc>
            </w:tr>
            <w:tr w:rsidR="00B122D1" w:rsidRPr="00E7339A" w14:paraId="25333516" w14:textId="77777777" w:rsidTr="00001CE0">
              <w:tc>
                <w:tcPr>
                  <w:tcW w:w="907" w:type="dxa"/>
                </w:tcPr>
                <w:p w14:paraId="6253CB07" w14:textId="297C5766" w:rsidR="00B122D1" w:rsidRDefault="00F57BC8" w:rsidP="00B122D1">
                  <w:pPr>
                    <w:spacing w:before="100" w:beforeAutospacing="1" w:line="276" w:lineRule="auto"/>
                    <w:rPr>
                      <w:rFonts w:eastAsiaTheme="minorEastAsia"/>
                      <w:lang w:eastAsia="en-GB"/>
                    </w:rPr>
                  </w:pPr>
                  <w:r>
                    <w:rPr>
                      <w:rFonts w:eastAsiaTheme="minorEastAsia"/>
                      <w:lang w:eastAsia="en-GB"/>
                    </w:rPr>
                    <w:t>4.3</w:t>
                  </w:r>
                </w:p>
              </w:tc>
              <w:tc>
                <w:tcPr>
                  <w:tcW w:w="7268" w:type="dxa"/>
                </w:tcPr>
                <w:p w14:paraId="499D8A7C" w14:textId="14FAC8A0" w:rsidR="00716041" w:rsidRDefault="00716041" w:rsidP="00716041">
                  <w:r>
                    <w:t>The feedback from the</w:t>
                  </w:r>
                  <w:r w:rsidR="001676D8">
                    <w:t xml:space="preserve"> engagement</w:t>
                  </w:r>
                  <w:r>
                    <w:t xml:space="preserve"> strands appeared to be unanimous that there needs to be a definition of reserves within the glossary. It was noted that there used to be one in the SORP, but it was removed at the last update.</w:t>
                  </w:r>
                </w:p>
                <w:p w14:paraId="3BD68306" w14:textId="33E09304" w:rsidR="00716041" w:rsidRDefault="00716041" w:rsidP="00716041">
                  <w:r>
                    <w:lastRenderedPageBreak/>
                    <w:t>The choice from the engagement strand feedback was whether to produce a new definition or whether to use the definition previously included in the 2005 SORP. The definition adopted will need to distinguish between those reserves free and able to be used and those that are not.</w:t>
                  </w:r>
                </w:p>
                <w:p w14:paraId="2F6D5E10" w14:textId="16F83D65" w:rsidR="00716041" w:rsidRDefault="00716041" w:rsidP="00716041">
                  <w:r>
                    <w:t>The Committee sought to understand why it was removed from the SORP in the last edition. The Chair commented that this was to reduce the regulatory burden on small charities. The former Charities SORP committee was concerned that expecting small charities to provide an analysis on reserves increased the reporting burden</w:t>
                  </w:r>
                  <w:r w:rsidR="005B5157">
                    <w:t xml:space="preserve"> and that they should instead be reporting reserves in a way </w:t>
                  </w:r>
                  <w:r w:rsidR="008C0287">
                    <w:t xml:space="preserve">that </w:t>
                  </w:r>
                  <w:r w:rsidR="005B5157">
                    <w:t>was meaningful to them</w:t>
                  </w:r>
                  <w:r>
                    <w:t>. The feedback from the engagement strands indicated that, in hindsight, that this might not have assisted accounts preparers.</w:t>
                  </w:r>
                </w:p>
                <w:p w14:paraId="11BE6056" w14:textId="2BC97A72" w:rsidR="00716041" w:rsidRDefault="00716041" w:rsidP="00716041">
                  <w:r>
                    <w:t>Some of the Committee members commented that accounts preparers would prefer more guidance regarding and specification in the SORP on reserves. Rather than seeing a definition of reserves as increasing the reporting burden the definition was perceived as being helpful. The Committee felt that the SORP should be assisting the sector to understand what reserves mean.</w:t>
                  </w:r>
                </w:p>
                <w:p w14:paraId="4F827285" w14:textId="77777777" w:rsidR="00716041" w:rsidRDefault="00716041" w:rsidP="00716041">
                  <w:r>
                    <w:t>There was general support within the Committee to reinstate the former 2005 definition within the glossary.</w:t>
                  </w:r>
                </w:p>
                <w:p w14:paraId="5A7049C2" w14:textId="7364382B" w:rsidR="00716041" w:rsidRDefault="005B5157" w:rsidP="00716041">
                  <w:r>
                    <w:t xml:space="preserve">Subject to these comments there were </w:t>
                  </w:r>
                  <w:r w:rsidR="00716041">
                    <w:t>two points to note</w:t>
                  </w:r>
                  <w:r>
                    <w:t xml:space="preserve"> on this issue:</w:t>
                  </w:r>
                </w:p>
                <w:p w14:paraId="116FC1D8" w14:textId="057CAF43" w:rsidR="00716041" w:rsidRDefault="00716041" w:rsidP="00F16A5A">
                  <w:pPr>
                    <w:pStyle w:val="ListParagraph"/>
                    <w:numPr>
                      <w:ilvl w:val="0"/>
                      <w:numId w:val="27"/>
                    </w:numPr>
                    <w:ind w:left="465" w:hanging="426"/>
                  </w:pPr>
                  <w:r>
                    <w:t xml:space="preserve">Freedom of choice may </w:t>
                  </w:r>
                  <w:r w:rsidR="005B5157">
                    <w:t>be</w:t>
                  </w:r>
                  <w:r>
                    <w:t xml:space="preserve"> helpful but, particularly for smaller organisations it leaves them seeking further advice to work out how to go forward with this.</w:t>
                  </w:r>
                </w:p>
                <w:p w14:paraId="076C2642" w14:textId="00F9FFE1" w:rsidR="00716041" w:rsidRDefault="00716041" w:rsidP="00F16A5A">
                  <w:pPr>
                    <w:pStyle w:val="ListParagraph"/>
                    <w:numPr>
                      <w:ilvl w:val="0"/>
                      <w:numId w:val="27"/>
                    </w:numPr>
                    <w:ind w:left="465" w:hanging="426"/>
                  </w:pPr>
                  <w:r>
                    <w:t xml:space="preserve">Reinstatement of the definition </w:t>
                  </w:r>
                  <w:r w:rsidR="005B5157">
                    <w:t>was agreed</w:t>
                  </w:r>
                  <w:r w:rsidR="008C0287">
                    <w:t xml:space="preserve"> upon</w:t>
                  </w:r>
                  <w:r>
                    <w:t>, but</w:t>
                  </w:r>
                  <w:r w:rsidR="005B5157">
                    <w:t xml:space="preserve"> what should be questioned is whether </w:t>
                  </w:r>
                  <w:r>
                    <w:t>there</w:t>
                  </w:r>
                  <w:r w:rsidR="005B5157">
                    <w:t xml:space="preserve"> is</w:t>
                  </w:r>
                  <w:r>
                    <w:t xml:space="preserve"> a correlation between the quality of reporting and the lack of a </w:t>
                  </w:r>
                  <w:r w:rsidR="00771C1C">
                    <w:t>definition.</w:t>
                  </w:r>
                </w:p>
                <w:p w14:paraId="6215F706" w14:textId="0FACB420" w:rsidR="005B5157" w:rsidRDefault="00716041" w:rsidP="005B5157">
                  <w:r>
                    <w:t xml:space="preserve">It </w:t>
                  </w:r>
                  <w:r w:rsidR="009F35C4">
                    <w:t xml:space="preserve">might </w:t>
                  </w:r>
                  <w:r>
                    <w:t>follow that if there is clarity</w:t>
                  </w:r>
                  <w:r w:rsidR="005B5157">
                    <w:t xml:space="preserve"> in the definition that the</w:t>
                  </w:r>
                  <w:r>
                    <w:t xml:space="preserve"> quality of reporting</w:t>
                  </w:r>
                  <w:r w:rsidR="005B5157">
                    <w:t xml:space="preserve"> on this topic </w:t>
                  </w:r>
                  <w:r w:rsidR="009F35C4">
                    <w:t xml:space="preserve">would </w:t>
                  </w:r>
                  <w:r>
                    <w:t xml:space="preserve">improve, although </w:t>
                  </w:r>
                  <w:r w:rsidR="005B5157">
                    <w:t>a clear definition is</w:t>
                  </w:r>
                  <w:r>
                    <w:t xml:space="preserve"> unlikely to be the only factor influencing </w:t>
                  </w:r>
                  <w:r w:rsidR="005B5157">
                    <w:t xml:space="preserve">quality. </w:t>
                  </w:r>
                </w:p>
                <w:p w14:paraId="5375A035" w14:textId="6F86D742" w:rsidR="005B5157" w:rsidRDefault="005B5157" w:rsidP="005B5157">
                  <w:r>
                    <w:t xml:space="preserve">Language is also a key influence </w:t>
                  </w:r>
                  <w:r w:rsidR="008C0287">
                    <w:t xml:space="preserve">on </w:t>
                  </w:r>
                  <w:r>
                    <w:t>how people interpret the SORP. Is there a flaw in the assumption of knowledge with respect to the users of the SORP?</w:t>
                  </w:r>
                </w:p>
                <w:p w14:paraId="629004A4" w14:textId="43786E90" w:rsidR="005B5157" w:rsidRDefault="005B5157" w:rsidP="005B5157">
                  <w:r>
                    <w:t>The Chair commented that if these assumptions were relating to the addition of a note there may be a flaw in our assumptions, but if relating to a balance sheet item this should not be relevant.</w:t>
                  </w:r>
                </w:p>
                <w:p w14:paraId="176512AE" w14:textId="5F57B390" w:rsidR="005B5157" w:rsidRDefault="005B5157" w:rsidP="00F57BC8">
                  <w:r>
                    <w:t>In summary</w:t>
                  </w:r>
                  <w:r w:rsidR="008C0287">
                    <w:t>,</w:t>
                  </w:r>
                  <w:r>
                    <w:t xml:space="preserve"> the Committee agreed to </w:t>
                  </w:r>
                  <w:r w:rsidR="008C0287">
                    <w:t xml:space="preserve">reinstate </w:t>
                  </w:r>
                  <w:r>
                    <w:t>a definition</w:t>
                  </w:r>
                  <w:r w:rsidR="00771C1C">
                    <w:t xml:space="preserve"> of reserves </w:t>
                  </w:r>
                  <w:r>
                    <w:t>in the SOR</w:t>
                  </w:r>
                  <w:r w:rsidR="00771C1C">
                    <w:t>P</w:t>
                  </w:r>
                  <w:r>
                    <w:t>.</w:t>
                  </w:r>
                </w:p>
                <w:p w14:paraId="43A0C35A" w14:textId="65D0D415" w:rsidR="00F57BC8" w:rsidRDefault="00F57BC8" w:rsidP="00F57BC8"/>
              </w:tc>
              <w:tc>
                <w:tcPr>
                  <w:tcW w:w="839" w:type="dxa"/>
                  <w:vAlign w:val="bottom"/>
                </w:tcPr>
                <w:p w14:paraId="09733E8C" w14:textId="77777777" w:rsidR="00B122D1" w:rsidRDefault="00B122D1" w:rsidP="00B122D1">
                  <w:pPr>
                    <w:spacing w:before="100" w:beforeAutospacing="1" w:line="276" w:lineRule="auto"/>
                    <w:rPr>
                      <w:rFonts w:eastAsiaTheme="minorEastAsia"/>
                      <w:lang w:eastAsia="en-GB"/>
                    </w:rPr>
                  </w:pPr>
                </w:p>
              </w:tc>
            </w:tr>
            <w:tr w:rsidR="005B5157" w:rsidRPr="00E7339A" w14:paraId="13466219" w14:textId="77777777" w:rsidTr="00001CE0">
              <w:tc>
                <w:tcPr>
                  <w:tcW w:w="907" w:type="dxa"/>
                </w:tcPr>
                <w:p w14:paraId="6AB00778" w14:textId="218171DF" w:rsidR="005B5157" w:rsidRDefault="00F57BC8" w:rsidP="00B122D1">
                  <w:pPr>
                    <w:spacing w:before="100" w:beforeAutospacing="1" w:line="276" w:lineRule="auto"/>
                    <w:rPr>
                      <w:rFonts w:eastAsiaTheme="minorEastAsia"/>
                      <w:lang w:eastAsia="en-GB"/>
                    </w:rPr>
                  </w:pPr>
                  <w:r>
                    <w:rPr>
                      <w:rFonts w:eastAsiaTheme="minorEastAsia"/>
                      <w:lang w:eastAsia="en-GB"/>
                    </w:rPr>
                    <w:t>4</w:t>
                  </w:r>
                  <w:r w:rsidR="00771C1C">
                    <w:rPr>
                      <w:rFonts w:eastAsiaTheme="minorEastAsia"/>
                      <w:lang w:eastAsia="en-GB"/>
                    </w:rPr>
                    <w:t>.</w:t>
                  </w:r>
                  <w:r w:rsidR="0041208F">
                    <w:rPr>
                      <w:rFonts w:eastAsiaTheme="minorEastAsia"/>
                      <w:lang w:eastAsia="en-GB"/>
                    </w:rPr>
                    <w:t>4</w:t>
                  </w:r>
                </w:p>
              </w:tc>
              <w:tc>
                <w:tcPr>
                  <w:tcW w:w="7268" w:type="dxa"/>
                </w:tcPr>
                <w:p w14:paraId="7E1B72F0" w14:textId="6AB99DA3" w:rsidR="005B5157" w:rsidRDefault="00771C1C" w:rsidP="00F57BC8">
                  <w:r>
                    <w:rPr>
                      <w:b/>
                      <w:bCs/>
                    </w:rPr>
                    <w:t xml:space="preserve">Section </w:t>
                  </w:r>
                  <w:r w:rsidR="00F57BC8">
                    <w:rPr>
                      <w:b/>
                      <w:bCs/>
                    </w:rPr>
                    <w:t>1</w:t>
                  </w:r>
                  <w:r>
                    <w:rPr>
                      <w:b/>
                      <w:bCs/>
                    </w:rPr>
                    <w:t xml:space="preserve">: </w:t>
                  </w:r>
                  <w:r w:rsidRPr="00A67552">
                    <w:rPr>
                      <w:b/>
                      <w:bCs/>
                    </w:rPr>
                    <w:t>What should th</w:t>
                  </w:r>
                  <w:r>
                    <w:rPr>
                      <w:b/>
                      <w:bCs/>
                    </w:rPr>
                    <w:t>e definition of free reserves</w:t>
                  </w:r>
                  <w:r w:rsidRPr="00A67552">
                    <w:rPr>
                      <w:b/>
                      <w:bCs/>
                    </w:rPr>
                    <w:t xml:space="preserve"> be?</w:t>
                  </w:r>
                </w:p>
              </w:tc>
              <w:tc>
                <w:tcPr>
                  <w:tcW w:w="839" w:type="dxa"/>
                  <w:vAlign w:val="bottom"/>
                </w:tcPr>
                <w:p w14:paraId="7E15540D" w14:textId="77777777" w:rsidR="005B5157" w:rsidRDefault="005B5157" w:rsidP="00B122D1">
                  <w:pPr>
                    <w:spacing w:before="100" w:beforeAutospacing="1" w:line="276" w:lineRule="auto"/>
                    <w:rPr>
                      <w:rFonts w:eastAsiaTheme="minorEastAsia"/>
                      <w:lang w:eastAsia="en-GB"/>
                    </w:rPr>
                  </w:pPr>
                </w:p>
              </w:tc>
            </w:tr>
            <w:tr w:rsidR="005B5157" w:rsidRPr="00E7339A" w14:paraId="10FA0962" w14:textId="77777777" w:rsidTr="00001CE0">
              <w:tc>
                <w:tcPr>
                  <w:tcW w:w="907" w:type="dxa"/>
                </w:tcPr>
                <w:p w14:paraId="137730D0" w14:textId="0254A139" w:rsidR="005B5157" w:rsidRDefault="00F57BC8" w:rsidP="00B122D1">
                  <w:pPr>
                    <w:spacing w:before="100" w:beforeAutospacing="1" w:line="276" w:lineRule="auto"/>
                    <w:rPr>
                      <w:rFonts w:eastAsiaTheme="minorEastAsia"/>
                      <w:lang w:eastAsia="en-GB"/>
                    </w:rPr>
                  </w:pPr>
                  <w:r>
                    <w:rPr>
                      <w:rFonts w:eastAsiaTheme="minorEastAsia"/>
                      <w:lang w:eastAsia="en-GB"/>
                    </w:rPr>
                    <w:t>4</w:t>
                  </w:r>
                  <w:r w:rsidR="00771C1C">
                    <w:rPr>
                      <w:rFonts w:eastAsiaTheme="minorEastAsia"/>
                      <w:lang w:eastAsia="en-GB"/>
                    </w:rPr>
                    <w:t>.</w:t>
                  </w:r>
                  <w:r w:rsidR="0041208F">
                    <w:rPr>
                      <w:rFonts w:eastAsiaTheme="minorEastAsia"/>
                      <w:lang w:eastAsia="en-GB"/>
                    </w:rPr>
                    <w:t>5</w:t>
                  </w:r>
                </w:p>
              </w:tc>
              <w:tc>
                <w:tcPr>
                  <w:tcW w:w="7268" w:type="dxa"/>
                </w:tcPr>
                <w:p w14:paraId="58612CE0" w14:textId="42907B12" w:rsidR="00771C1C" w:rsidRDefault="00771C1C" w:rsidP="00771C1C">
                  <w:r>
                    <w:t>The Committee was of the view that a clear definition of reserves was needed. The word ‘free’ tends to be used frequently in relation to reserves.  Questions arise as to whether the definition of what is meant by this term should be included to give a steer to all charities but particularly small charities.</w:t>
                  </w:r>
                </w:p>
                <w:p w14:paraId="58307165" w14:textId="34F7DDCD" w:rsidR="00771C1C" w:rsidRDefault="00771C1C" w:rsidP="00771C1C">
                  <w:r>
                    <w:t>The general preference of the Committee was to revert to the 2005 SORP definition rather than a high-level definition. It was felt that there needs to be an identification of unspent reserves in the year.</w:t>
                  </w:r>
                </w:p>
                <w:p w14:paraId="557B252E" w14:textId="729200DB" w:rsidR="00771C1C" w:rsidRDefault="00771C1C" w:rsidP="00771C1C">
                  <w:r>
                    <w:lastRenderedPageBreak/>
                    <w:t xml:space="preserve">It was noted that the Funders and Donor engagement strand had an interesting discussion and thought that the OSCR flowchart on reserves was useful. A Committee member enquired whether it would be helpful to also include a visual guide as well as </w:t>
                  </w:r>
                  <w:r w:rsidR="007810D6">
                    <w:t>a definition</w:t>
                  </w:r>
                  <w:r>
                    <w:t xml:space="preserve"> in the revised SORP?</w:t>
                  </w:r>
                </w:p>
                <w:p w14:paraId="704E285B" w14:textId="7828D06F" w:rsidR="00771C1C" w:rsidRDefault="007810D6" w:rsidP="00771C1C">
                  <w:r>
                    <w:t xml:space="preserve">Committee members considered that it might </w:t>
                  </w:r>
                  <w:r w:rsidR="00771C1C">
                    <w:t>also be useful to signpost to other sources of reference</w:t>
                  </w:r>
                  <w:r>
                    <w:t>. r</w:t>
                  </w:r>
                  <w:r w:rsidR="00771C1C">
                    <w:t xml:space="preserve">ather than </w:t>
                  </w:r>
                  <w:r>
                    <w:t xml:space="preserve">increasing the </w:t>
                  </w:r>
                  <w:r w:rsidR="00771C1C">
                    <w:t>information in the SORP</w:t>
                  </w:r>
                  <w:r>
                    <w:t>.</w:t>
                  </w:r>
                  <w:r w:rsidR="00771C1C">
                    <w:t xml:space="preserve"> This may reduce the size of the SORP and make it more useful</w:t>
                  </w:r>
                  <w:r>
                    <w:t xml:space="preserve"> to its users</w:t>
                  </w:r>
                  <w:r w:rsidR="00771C1C">
                    <w:t xml:space="preserve">. </w:t>
                  </w:r>
                  <w:r>
                    <w:t xml:space="preserve">Suggestions on this issue are included in </w:t>
                  </w:r>
                  <w:r w:rsidR="00771C1C">
                    <w:t>section 5 of paper</w:t>
                  </w:r>
                  <w:r>
                    <w:t xml:space="preserve"> 2</w:t>
                  </w:r>
                  <w:r w:rsidR="00771C1C">
                    <w:t xml:space="preserve"> (the proposal </w:t>
                  </w:r>
                  <w:r w:rsidR="009F35C4">
                    <w:t>about</w:t>
                  </w:r>
                  <w:r>
                    <w:t xml:space="preserve"> </w:t>
                  </w:r>
                  <w:r w:rsidR="00771C1C">
                    <w:t xml:space="preserve">additional </w:t>
                  </w:r>
                  <w:r>
                    <w:t>forms of guidance</w:t>
                  </w:r>
                  <w:r w:rsidR="00771C1C">
                    <w:t>).</w:t>
                  </w:r>
                </w:p>
                <w:p w14:paraId="016F1250" w14:textId="0C8CDFF9" w:rsidR="00771C1C" w:rsidRDefault="007810D6" w:rsidP="00771C1C">
                  <w:r>
                    <w:t xml:space="preserve">It was noted that the </w:t>
                  </w:r>
                  <w:r w:rsidR="00771C1C">
                    <w:t>Identification of reserves is a considerable issue in Ireland</w:t>
                  </w:r>
                  <w:r>
                    <w:t>. Comments included that</w:t>
                  </w:r>
                  <w:r w:rsidR="00771C1C">
                    <w:t xml:space="preserve"> many statutory funders do not understand reserves and will not let charities build up reserves. </w:t>
                  </w:r>
                  <w:r>
                    <w:t xml:space="preserve">Guidance that might help all stakeholders understand what reserves represent may be useful. </w:t>
                  </w:r>
                </w:p>
                <w:p w14:paraId="1D1E463B" w14:textId="50D13586" w:rsidR="00771C1C" w:rsidRDefault="00771C1C" w:rsidP="00771C1C">
                  <w:r>
                    <w:t xml:space="preserve">A definition may also be useful </w:t>
                  </w:r>
                  <w:r w:rsidR="008C0287">
                    <w:t xml:space="preserve">for </w:t>
                  </w:r>
                  <w:r>
                    <w:t>restricted funds. In some circumstances</w:t>
                  </w:r>
                  <w:r w:rsidR="008C0287">
                    <w:t>,</w:t>
                  </w:r>
                  <w:r>
                    <w:t xml:space="preserve"> it is possible to recognise multi</w:t>
                  </w:r>
                  <w:r w:rsidR="009F35C4">
                    <w:t>-</w:t>
                  </w:r>
                  <w:r>
                    <w:t xml:space="preserve">year grants over years and therefore a charity could end up, if the 2005 definition were adopted, with negative reserves. </w:t>
                  </w:r>
                  <w:r w:rsidR="007810D6">
                    <w:t>Guidance needs to be provided to explain that this might be appropriate in the case of accounting for multi</w:t>
                  </w:r>
                  <w:r w:rsidR="008C0287">
                    <w:t>-</w:t>
                  </w:r>
                  <w:r w:rsidR="007810D6">
                    <w:t>year funding</w:t>
                  </w:r>
                  <w:r>
                    <w:t>.</w:t>
                  </w:r>
                </w:p>
                <w:p w14:paraId="036F4288" w14:textId="4E16C18A" w:rsidR="007810D6" w:rsidRDefault="007810D6" w:rsidP="007810D6">
                  <w:r>
                    <w:t xml:space="preserve">CIPFA noted that care needs to be taken with signposting as all sources change over time and whether the sources remain accurate and consistent with the SORP. Consideration needs to be made on whether such signposting is consistent with the FRC’s </w:t>
                  </w:r>
                  <w:r w:rsidR="00D42C0E" w:rsidRPr="009F35C4">
                    <w:rPr>
                      <w:i/>
                      <w:iCs/>
                    </w:rPr>
                    <w:t>Policy on Developing Statements of Recommended Practice (SORPs).</w:t>
                  </w:r>
                  <w:r>
                    <w:t xml:space="preserve"> </w:t>
                  </w:r>
                </w:p>
                <w:p w14:paraId="41784C13" w14:textId="4D1F4F5E" w:rsidR="00771C1C" w:rsidRDefault="00D42C0E" w:rsidP="00771C1C">
                  <w:r>
                    <w:t>A committee member ex</w:t>
                  </w:r>
                  <w:r w:rsidR="00771C1C">
                    <w:t>pressed concern that there should not be a change as to how people account for reserves but rather this</w:t>
                  </w:r>
                  <w:r>
                    <w:t xml:space="preserve"> any </w:t>
                  </w:r>
                  <w:r w:rsidR="00F57BC8">
                    <w:t>change should</w:t>
                  </w:r>
                  <w:r>
                    <w:t xml:space="preserve"> ‘shine </w:t>
                  </w:r>
                  <w:r w:rsidR="00771C1C">
                    <w:t>a light</w:t>
                  </w:r>
                  <w:r>
                    <w:t>’</w:t>
                  </w:r>
                  <w:r w:rsidR="00771C1C">
                    <w:t xml:space="preserve"> on how they describe what they already do. The Committee needs to </w:t>
                  </w:r>
                  <w:r>
                    <w:t>take care in specifying a definition (and</w:t>
                  </w:r>
                  <w:r w:rsidR="00771C1C">
                    <w:t xml:space="preserve"> what is </w:t>
                  </w:r>
                  <w:r>
                    <w:t xml:space="preserve">included in reserves and </w:t>
                  </w:r>
                  <w:r w:rsidR="00771C1C">
                    <w:t>what is out of it</w:t>
                  </w:r>
                  <w:r>
                    <w:t xml:space="preserve">). The SORP Committee needs to ensure that the definition is robust and used consistently where relevant but does </w:t>
                  </w:r>
                  <w:r w:rsidR="00771C1C">
                    <w:t xml:space="preserve">not make the charities look less </w:t>
                  </w:r>
                  <w:r>
                    <w:t>financially sustainable than current reporting</w:t>
                  </w:r>
                  <w:r w:rsidR="00771C1C">
                    <w:t xml:space="preserve">. Many charities </w:t>
                  </w:r>
                  <w:r>
                    <w:t>seek advice on their</w:t>
                  </w:r>
                  <w:r w:rsidR="00771C1C">
                    <w:t xml:space="preserve"> legal obligation</w:t>
                  </w:r>
                  <w:r>
                    <w:t xml:space="preserve">s </w:t>
                  </w:r>
                  <w:proofErr w:type="spellStart"/>
                  <w:proofErr w:type="gramStart"/>
                  <w:r>
                    <w:t>ie</w:t>
                  </w:r>
                  <w:proofErr w:type="spellEnd"/>
                  <w:proofErr w:type="gramEnd"/>
                  <w:r>
                    <w:t xml:space="preserve"> that</w:t>
                  </w:r>
                  <w:r w:rsidR="00771C1C">
                    <w:t xml:space="preserve"> charities should not hold onto reserves</w:t>
                  </w:r>
                  <w:r>
                    <w:t xml:space="preserve"> unless there is a good reason. The SORP should not </w:t>
                  </w:r>
                  <w:r w:rsidR="00771C1C">
                    <w:t>create issue</w:t>
                  </w:r>
                  <w:r>
                    <w:t>s</w:t>
                  </w:r>
                  <w:r w:rsidR="00771C1C">
                    <w:t xml:space="preserve"> that may not exist</w:t>
                  </w:r>
                  <w:r>
                    <w:t xml:space="preserve"> for smaller charities</w:t>
                  </w:r>
                  <w:r w:rsidR="00771C1C">
                    <w:t>.</w:t>
                  </w:r>
                </w:p>
                <w:p w14:paraId="31B45B55" w14:textId="5E0F9551" w:rsidR="00771C1C" w:rsidRDefault="00D42C0E" w:rsidP="00771C1C">
                  <w:r>
                    <w:t xml:space="preserve">Another committee member </w:t>
                  </w:r>
                  <w:r w:rsidR="00771C1C">
                    <w:t xml:space="preserve">pointed out that there is no obligation in the SORP to have a reserves policy, only a requirement to explain it if you have one, so </w:t>
                  </w:r>
                  <w:r>
                    <w:t xml:space="preserve">questioned whether </w:t>
                  </w:r>
                  <w:r w:rsidR="00771C1C">
                    <w:t>this make</w:t>
                  </w:r>
                  <w:r>
                    <w:t>s</w:t>
                  </w:r>
                  <w:r w:rsidR="00771C1C">
                    <w:t xml:space="preserve"> a reserves policy mandatory? </w:t>
                  </w:r>
                </w:p>
                <w:p w14:paraId="797B4AAF" w14:textId="0E09354B" w:rsidR="007F7B28" w:rsidRDefault="00771C1C" w:rsidP="007F7B28">
                  <w:r>
                    <w:t xml:space="preserve">The Chair clarified that, regarding the reserves policy, </w:t>
                  </w:r>
                  <w:r w:rsidR="00DC06B8">
                    <w:t>t</w:t>
                  </w:r>
                  <w:r w:rsidR="007F7B28">
                    <w:t>he charity must explain any policy it has for holding reserves and why they are held. If the trustees have decided that holding reserves is unnecessary, the report must disclose this fact and provide the reasons behind this decision.</w:t>
                  </w:r>
                </w:p>
                <w:p w14:paraId="4E7D43D0" w14:textId="511413DC" w:rsidR="00771C1C" w:rsidRDefault="007F7B28" w:rsidP="007F7B28">
                  <w:r>
                    <w:t>It was agreed that charities should fully use the resources they hold but where necessary they will need to hold sums for contingencies.</w:t>
                  </w:r>
                  <w:r w:rsidR="00771C1C">
                    <w:t xml:space="preserve"> </w:t>
                  </w:r>
                  <w:r>
                    <w:t>It is agreed that this can be a mixed message but where possible there needs to be clarity. The SORP will not be able to provide all answers to these questions</w:t>
                  </w:r>
                  <w:r w:rsidR="00771C1C">
                    <w:t>.</w:t>
                  </w:r>
                </w:p>
                <w:p w14:paraId="5E9849CB" w14:textId="5D1874E7" w:rsidR="005B5157" w:rsidRDefault="007F7B28" w:rsidP="00771C1C">
                  <w:r>
                    <w:t>Concerns were raised</w:t>
                  </w:r>
                  <w:r w:rsidR="00771C1C">
                    <w:t xml:space="preserve"> as to how a reserves policy is best implemented for smaller charities </w:t>
                  </w:r>
                  <w:r>
                    <w:t>where understanding of the definition of r</w:t>
                  </w:r>
                  <w:r w:rsidR="00771C1C">
                    <w:t>eserves</w:t>
                  </w:r>
                  <w:r>
                    <w:t xml:space="preserve"> might be more limited</w:t>
                  </w:r>
                  <w:r w:rsidR="009F35C4">
                    <w:t>.</w:t>
                  </w:r>
                  <w:r w:rsidR="00771C1C">
                    <w:t xml:space="preserve"> </w:t>
                  </w:r>
                  <w:r>
                    <w:t xml:space="preserve">If </w:t>
                  </w:r>
                  <w:r w:rsidR="00771C1C">
                    <w:t xml:space="preserve">a charity has </w:t>
                  </w:r>
                  <w:r w:rsidR="009F35C4">
                    <w:t>decided</w:t>
                  </w:r>
                  <w:r>
                    <w:t xml:space="preserve"> to hold</w:t>
                  </w:r>
                  <w:r w:rsidR="00771C1C">
                    <w:t xml:space="preserve"> reserves</w:t>
                  </w:r>
                  <w:r>
                    <w:t>,</w:t>
                  </w:r>
                  <w:r w:rsidR="00771C1C">
                    <w:t xml:space="preserve"> then</w:t>
                  </w:r>
                  <w:r>
                    <w:t xml:space="preserve"> it has</w:t>
                  </w:r>
                  <w:r w:rsidR="00771C1C">
                    <w:t xml:space="preserve"> a reserves policy. </w:t>
                  </w:r>
                  <w:r>
                    <w:t>Co</w:t>
                  </w:r>
                  <w:r w:rsidR="00771C1C">
                    <w:t>ncern</w:t>
                  </w:r>
                  <w:r>
                    <w:t>s were also raised that</w:t>
                  </w:r>
                  <w:r w:rsidR="00771C1C">
                    <w:t xml:space="preserve"> the SORP does</w:t>
                  </w:r>
                  <w:r>
                    <w:t xml:space="preserve"> </w:t>
                  </w:r>
                  <w:r w:rsidR="00771C1C">
                    <w:t>n</w:t>
                  </w:r>
                  <w:r>
                    <w:t>o</w:t>
                  </w:r>
                  <w:r w:rsidR="00771C1C">
                    <w:t xml:space="preserve">t </w:t>
                  </w:r>
                  <w:r>
                    <w:t xml:space="preserve">give explicit instructions on what a charity should do if it </w:t>
                  </w:r>
                  <w:r w:rsidR="00A24BCE">
                    <w:t>does not</w:t>
                  </w:r>
                  <w:r>
                    <w:t xml:space="preserve"> have</w:t>
                  </w:r>
                  <w:r w:rsidR="00771C1C">
                    <w:t xml:space="preserve"> a reserves policy</w:t>
                  </w:r>
                  <w:r w:rsidR="006B6DA2">
                    <w:t xml:space="preserve">. </w:t>
                  </w:r>
                  <w:r w:rsidR="006B6DA2">
                    <w:lastRenderedPageBreak/>
                    <w:t>This led to a discussion about whether the SORP might mandate trustees having a reserves policy</w:t>
                  </w:r>
                  <w:r w:rsidR="00771C1C">
                    <w:t>.</w:t>
                  </w:r>
                  <w:r w:rsidR="00A24BCE">
                    <w:t xml:space="preserve"> [</w:t>
                  </w:r>
                  <w:r w:rsidR="00A24BCE" w:rsidRPr="00F16A5A">
                    <w:rPr>
                      <w:i/>
                      <w:iCs/>
                    </w:rPr>
                    <w:t xml:space="preserve">Note </w:t>
                  </w:r>
                  <w:r w:rsidR="00C70A93">
                    <w:rPr>
                      <w:i/>
                      <w:iCs/>
                    </w:rPr>
                    <w:t xml:space="preserve">SORP </w:t>
                  </w:r>
                  <w:r w:rsidR="00A24BCE" w:rsidRPr="00F16A5A">
                    <w:rPr>
                      <w:i/>
                      <w:iCs/>
                    </w:rPr>
                    <w:t>paragraph 1.22 described above requires charities to provide reasons behind the decision not to hold reserves</w:t>
                  </w:r>
                  <w:r w:rsidR="00A24BCE">
                    <w:t>]</w:t>
                  </w:r>
                </w:p>
              </w:tc>
              <w:tc>
                <w:tcPr>
                  <w:tcW w:w="839" w:type="dxa"/>
                  <w:vAlign w:val="bottom"/>
                </w:tcPr>
                <w:p w14:paraId="1353CD5C" w14:textId="77777777" w:rsidR="005B5157" w:rsidRDefault="005B5157" w:rsidP="00B122D1">
                  <w:pPr>
                    <w:spacing w:before="100" w:beforeAutospacing="1" w:line="276" w:lineRule="auto"/>
                    <w:rPr>
                      <w:rFonts w:eastAsiaTheme="minorEastAsia"/>
                      <w:lang w:eastAsia="en-GB"/>
                    </w:rPr>
                  </w:pPr>
                </w:p>
              </w:tc>
            </w:tr>
            <w:tr w:rsidR="00A24BCE" w:rsidRPr="00E7339A" w14:paraId="508BC7BE" w14:textId="77777777" w:rsidTr="00001CE0">
              <w:tc>
                <w:tcPr>
                  <w:tcW w:w="907" w:type="dxa"/>
                </w:tcPr>
                <w:p w14:paraId="19AA31A8" w14:textId="0720CDD2" w:rsidR="00A24BCE" w:rsidRDefault="00F57BC8" w:rsidP="00B122D1">
                  <w:pPr>
                    <w:spacing w:before="100" w:beforeAutospacing="1" w:line="276" w:lineRule="auto"/>
                    <w:rPr>
                      <w:rFonts w:eastAsiaTheme="minorEastAsia"/>
                      <w:lang w:eastAsia="en-GB"/>
                    </w:rPr>
                  </w:pPr>
                  <w:r>
                    <w:rPr>
                      <w:rFonts w:eastAsiaTheme="minorEastAsia"/>
                      <w:lang w:eastAsia="en-GB"/>
                    </w:rPr>
                    <w:lastRenderedPageBreak/>
                    <w:t>4</w:t>
                  </w:r>
                  <w:r w:rsidR="00A24BCE">
                    <w:rPr>
                      <w:rFonts w:eastAsiaTheme="minorEastAsia"/>
                      <w:lang w:eastAsia="en-GB"/>
                    </w:rPr>
                    <w:t>.</w:t>
                  </w:r>
                  <w:r w:rsidR="0041208F">
                    <w:rPr>
                      <w:rFonts w:eastAsiaTheme="minorEastAsia"/>
                      <w:lang w:eastAsia="en-GB"/>
                    </w:rPr>
                    <w:t>6</w:t>
                  </w:r>
                </w:p>
              </w:tc>
              <w:tc>
                <w:tcPr>
                  <w:tcW w:w="7268" w:type="dxa"/>
                </w:tcPr>
                <w:p w14:paraId="313FB321" w14:textId="32B45610" w:rsidR="00A24BCE" w:rsidRDefault="00A24BCE" w:rsidP="00F16A5A">
                  <w:r>
                    <w:rPr>
                      <w:b/>
                      <w:bCs/>
                    </w:rPr>
                    <w:t xml:space="preserve">Section 2: </w:t>
                  </w:r>
                  <w:r w:rsidRPr="007A553C">
                    <w:rPr>
                      <w:b/>
                      <w:bCs/>
                    </w:rPr>
                    <w:t xml:space="preserve">Discussion of </w:t>
                  </w:r>
                  <w:r w:rsidR="00F57BC8">
                    <w:rPr>
                      <w:b/>
                      <w:bCs/>
                    </w:rPr>
                    <w:t>R</w:t>
                  </w:r>
                  <w:r w:rsidRPr="007A553C">
                    <w:rPr>
                      <w:b/>
                      <w:bCs/>
                    </w:rPr>
                    <w:t>eserves within the T</w:t>
                  </w:r>
                  <w:r>
                    <w:rPr>
                      <w:b/>
                      <w:bCs/>
                    </w:rPr>
                    <w:t>rustees’ Annual Report</w:t>
                  </w:r>
                </w:p>
              </w:tc>
              <w:tc>
                <w:tcPr>
                  <w:tcW w:w="839" w:type="dxa"/>
                  <w:vAlign w:val="bottom"/>
                </w:tcPr>
                <w:p w14:paraId="73C7BC32" w14:textId="77777777" w:rsidR="00A24BCE" w:rsidRDefault="00A24BCE" w:rsidP="00B122D1">
                  <w:pPr>
                    <w:spacing w:before="100" w:beforeAutospacing="1" w:line="276" w:lineRule="auto"/>
                    <w:rPr>
                      <w:rFonts w:eastAsiaTheme="minorEastAsia"/>
                      <w:lang w:eastAsia="en-GB"/>
                    </w:rPr>
                  </w:pPr>
                </w:p>
              </w:tc>
            </w:tr>
            <w:tr w:rsidR="00A24BCE" w:rsidRPr="00E7339A" w14:paraId="12B624D0" w14:textId="77777777" w:rsidTr="00001CE0">
              <w:tc>
                <w:tcPr>
                  <w:tcW w:w="907" w:type="dxa"/>
                </w:tcPr>
                <w:p w14:paraId="03A2E587" w14:textId="4D74B496" w:rsidR="00A24BCE" w:rsidRDefault="00F57BC8" w:rsidP="00B122D1">
                  <w:pPr>
                    <w:spacing w:before="100" w:beforeAutospacing="1" w:line="276" w:lineRule="auto"/>
                    <w:rPr>
                      <w:rFonts w:eastAsiaTheme="minorEastAsia"/>
                      <w:lang w:eastAsia="en-GB"/>
                    </w:rPr>
                  </w:pPr>
                  <w:r>
                    <w:rPr>
                      <w:rFonts w:eastAsiaTheme="minorEastAsia"/>
                      <w:lang w:eastAsia="en-GB"/>
                    </w:rPr>
                    <w:t>4</w:t>
                  </w:r>
                  <w:r w:rsidR="00A24BCE">
                    <w:rPr>
                      <w:rFonts w:eastAsiaTheme="minorEastAsia"/>
                      <w:lang w:eastAsia="en-GB"/>
                    </w:rPr>
                    <w:t>.</w:t>
                  </w:r>
                  <w:r w:rsidR="0041208F">
                    <w:rPr>
                      <w:rFonts w:eastAsiaTheme="minorEastAsia"/>
                      <w:lang w:eastAsia="en-GB"/>
                    </w:rPr>
                    <w:t>7</w:t>
                  </w:r>
                </w:p>
              </w:tc>
              <w:tc>
                <w:tcPr>
                  <w:tcW w:w="7268" w:type="dxa"/>
                </w:tcPr>
                <w:p w14:paraId="16F8252E" w14:textId="724212BB" w:rsidR="00A24BCE" w:rsidRDefault="00A24BCE" w:rsidP="00A24BCE">
                  <w:r>
                    <w:t>The Chair opened the discussion on what was the context for the numbers that are used within the body of the trustees’ annual report. Outside of the definition of reserves</w:t>
                  </w:r>
                  <w:r w:rsidR="008C0287">
                    <w:t>,</w:t>
                  </w:r>
                  <w:r>
                    <w:t xml:space="preserve"> there is a consensus that the numbers for free reserves used within the trustees’ annual report should link clearly to the figures within the accounts.</w:t>
                  </w:r>
                </w:p>
                <w:p w14:paraId="48B70F68" w14:textId="53FD5936" w:rsidR="00A24BCE" w:rsidRDefault="00A24BCE" w:rsidP="00A24BCE">
                  <w:r>
                    <w:t xml:space="preserve">The Chair asked whether the Committee agreed to the 3 bullet points in section 2 of the paper: </w:t>
                  </w:r>
                </w:p>
                <w:p w14:paraId="1AF7887D" w14:textId="2CC570BF" w:rsidR="00A24BCE" w:rsidRPr="004A1793" w:rsidRDefault="00A24BCE" w:rsidP="00A24BCE">
                  <w:pPr>
                    <w:pStyle w:val="Default"/>
                    <w:numPr>
                      <w:ilvl w:val="0"/>
                      <w:numId w:val="32"/>
                    </w:numPr>
                    <w:spacing w:after="59"/>
                    <w:ind w:left="360" w:hanging="360"/>
                    <w:rPr>
                      <w:rFonts w:asciiTheme="minorHAnsi" w:hAnsiTheme="minorHAnsi" w:cstheme="minorHAnsi"/>
                      <w:i/>
                      <w:iCs/>
                      <w:sz w:val="20"/>
                      <w:szCs w:val="20"/>
                    </w:rPr>
                  </w:pPr>
                  <w:r w:rsidRPr="004A1793">
                    <w:rPr>
                      <w:rFonts w:asciiTheme="minorHAnsi" w:hAnsiTheme="minorHAnsi" w:cstheme="minorHAnsi"/>
                      <w:i/>
                      <w:iCs/>
                      <w:sz w:val="20"/>
                      <w:szCs w:val="20"/>
                    </w:rPr>
                    <w:t xml:space="preserve">Agree to linking the explanation of the reserves figure(s) in the trustees’ annual report to the accounts </w:t>
                  </w:r>
                  <w:r>
                    <w:rPr>
                      <w:rFonts w:asciiTheme="minorHAnsi" w:hAnsiTheme="minorHAnsi" w:cstheme="minorHAnsi"/>
                      <w:i/>
                      <w:iCs/>
                      <w:sz w:val="20"/>
                      <w:szCs w:val="20"/>
                    </w:rPr>
                    <w:t>(also see sections 3 and 4 of the report)</w:t>
                  </w:r>
                  <w:r w:rsidR="002F5709">
                    <w:rPr>
                      <w:rFonts w:asciiTheme="minorHAnsi" w:hAnsiTheme="minorHAnsi" w:cstheme="minorHAnsi"/>
                      <w:i/>
                      <w:iCs/>
                      <w:sz w:val="20"/>
                      <w:szCs w:val="20"/>
                    </w:rPr>
                    <w:t>.</w:t>
                  </w:r>
                </w:p>
                <w:p w14:paraId="253BEA5F" w14:textId="2D8312F9" w:rsidR="00A24BCE" w:rsidRPr="004A1793" w:rsidRDefault="00A24BCE" w:rsidP="00A24BCE">
                  <w:pPr>
                    <w:pStyle w:val="Default"/>
                    <w:numPr>
                      <w:ilvl w:val="0"/>
                      <w:numId w:val="32"/>
                    </w:numPr>
                    <w:spacing w:after="59"/>
                    <w:ind w:left="360" w:hanging="360"/>
                    <w:rPr>
                      <w:rFonts w:asciiTheme="minorHAnsi" w:hAnsiTheme="minorHAnsi" w:cstheme="minorHAnsi"/>
                      <w:i/>
                      <w:iCs/>
                      <w:sz w:val="20"/>
                      <w:szCs w:val="20"/>
                    </w:rPr>
                  </w:pPr>
                  <w:r w:rsidRPr="004A1793">
                    <w:rPr>
                      <w:rFonts w:asciiTheme="minorHAnsi" w:hAnsiTheme="minorHAnsi" w:cstheme="minorHAnsi"/>
                      <w:i/>
                      <w:iCs/>
                      <w:sz w:val="20"/>
                      <w:szCs w:val="20"/>
                    </w:rPr>
                    <w:t>Agree to having financial sustainability focus for reporting reserves with common reporting requirements for all tiers of charity reporting under the SORP with the detail settled in the drafting stage</w:t>
                  </w:r>
                  <w:r w:rsidR="002F5709">
                    <w:rPr>
                      <w:rFonts w:asciiTheme="minorHAnsi" w:hAnsiTheme="minorHAnsi" w:cstheme="minorHAnsi"/>
                      <w:i/>
                      <w:iCs/>
                      <w:sz w:val="20"/>
                      <w:szCs w:val="20"/>
                    </w:rPr>
                    <w:t>.</w:t>
                  </w:r>
                  <w:r w:rsidRPr="004A1793">
                    <w:rPr>
                      <w:rFonts w:asciiTheme="minorHAnsi" w:hAnsiTheme="minorHAnsi" w:cstheme="minorHAnsi"/>
                      <w:i/>
                      <w:iCs/>
                      <w:sz w:val="20"/>
                      <w:szCs w:val="20"/>
                    </w:rPr>
                    <w:t xml:space="preserve"> </w:t>
                  </w:r>
                </w:p>
                <w:p w14:paraId="069AF284" w14:textId="187BAE28" w:rsidR="00A24BCE" w:rsidRPr="004A1793" w:rsidRDefault="00A24BCE" w:rsidP="00A24BCE">
                  <w:pPr>
                    <w:pStyle w:val="Default"/>
                    <w:numPr>
                      <w:ilvl w:val="0"/>
                      <w:numId w:val="32"/>
                    </w:numPr>
                    <w:ind w:left="360" w:hanging="360"/>
                    <w:rPr>
                      <w:rFonts w:asciiTheme="minorHAnsi" w:hAnsiTheme="minorHAnsi" w:cstheme="minorHAnsi"/>
                      <w:i/>
                      <w:iCs/>
                      <w:sz w:val="20"/>
                      <w:szCs w:val="20"/>
                    </w:rPr>
                  </w:pPr>
                  <w:r w:rsidRPr="004A1793">
                    <w:rPr>
                      <w:rFonts w:asciiTheme="minorHAnsi" w:hAnsiTheme="minorHAnsi" w:cstheme="minorHAnsi"/>
                      <w:i/>
                      <w:iCs/>
                      <w:sz w:val="20"/>
                      <w:szCs w:val="20"/>
                    </w:rPr>
                    <w:t>Agree to simplifying, wherever possible, the terminology used in defining reserves and reporting on reserves</w:t>
                  </w:r>
                  <w:r w:rsidR="002F5709">
                    <w:rPr>
                      <w:rFonts w:asciiTheme="minorHAnsi" w:hAnsiTheme="minorHAnsi" w:cstheme="minorHAnsi"/>
                      <w:i/>
                      <w:iCs/>
                      <w:sz w:val="20"/>
                      <w:szCs w:val="20"/>
                    </w:rPr>
                    <w:t>.</w:t>
                  </w:r>
                  <w:r w:rsidRPr="004A1793">
                    <w:rPr>
                      <w:rFonts w:asciiTheme="minorHAnsi" w:hAnsiTheme="minorHAnsi" w:cstheme="minorHAnsi"/>
                      <w:i/>
                      <w:iCs/>
                      <w:sz w:val="20"/>
                      <w:szCs w:val="20"/>
                    </w:rPr>
                    <w:t xml:space="preserve"> </w:t>
                  </w:r>
                </w:p>
                <w:p w14:paraId="6AD43AC0" w14:textId="6736D105" w:rsidR="00A24BCE" w:rsidRDefault="002F5709" w:rsidP="00A24BCE">
                  <w:r>
                    <w:t>The Committee agreed that the information on reserves in the trustees’ annual report needed to agree with the information in the accounts (otherwise an appropriate explanation/reconciliation should be provided either in the notes or within the balance sheet)</w:t>
                  </w:r>
                  <w:r w:rsidR="00A24BCE">
                    <w:t xml:space="preserve">. The SORP should be there to support the sector in </w:t>
                  </w:r>
                  <w:r>
                    <w:t xml:space="preserve">reporting terms and if possible, not add further </w:t>
                  </w:r>
                  <w:r w:rsidR="00A24BCE">
                    <w:t>complicate</w:t>
                  </w:r>
                  <w:r>
                    <w:t>d</w:t>
                  </w:r>
                  <w:r w:rsidR="00A24BCE">
                    <w:t xml:space="preserve"> disclosure requirements.</w:t>
                  </w:r>
                </w:p>
                <w:p w14:paraId="6ADECEF6" w14:textId="6C38C8C7" w:rsidR="00A24BCE" w:rsidRDefault="002F5709" w:rsidP="00A24BCE">
                  <w:r>
                    <w:t xml:space="preserve">It was noted that </w:t>
                  </w:r>
                  <w:r w:rsidR="00A24BCE">
                    <w:t xml:space="preserve">there is a tension between the focus of the Committee being “small first” and therefore </w:t>
                  </w:r>
                  <w:r>
                    <w:t xml:space="preserve">being </w:t>
                  </w:r>
                  <w:r w:rsidR="00A24BCE">
                    <w:t xml:space="preserve">helpful and </w:t>
                  </w:r>
                  <w:r>
                    <w:t xml:space="preserve">providing </w:t>
                  </w:r>
                  <w:r w:rsidR="00A24BCE">
                    <w:t>guid</w:t>
                  </w:r>
                  <w:r>
                    <w:t>ance on this issue</w:t>
                  </w:r>
                  <w:r w:rsidR="00A24BCE">
                    <w:t>.</w:t>
                  </w:r>
                </w:p>
                <w:p w14:paraId="00B69873" w14:textId="2E373D0F" w:rsidR="00A24BCE" w:rsidRDefault="00A24BCE" w:rsidP="00A24BCE">
                  <w:r>
                    <w:t>There is also tension with making a hard-wired link to the SORP for a definition of free reserves arising from the financial statements</w:t>
                  </w:r>
                  <w:r w:rsidR="002F5709">
                    <w:t>. I</w:t>
                  </w:r>
                  <w:r>
                    <w:t xml:space="preserve">s there a risk this may do more harm than good? </w:t>
                  </w:r>
                </w:p>
                <w:p w14:paraId="78032899" w14:textId="68FBA674" w:rsidR="00A24BCE" w:rsidRDefault="009F35C4" w:rsidP="00A24BCE">
                  <w:r>
                    <w:t>A</w:t>
                  </w:r>
                  <w:r w:rsidR="00227F19">
                    <w:t xml:space="preserve"> commentary </w:t>
                  </w:r>
                  <w:r w:rsidR="002F5709">
                    <w:t xml:space="preserve">was made that this should be a definition which starts </w:t>
                  </w:r>
                  <w:r w:rsidR="00A24BCE">
                    <w:t>from the legal position and then work</w:t>
                  </w:r>
                  <w:r w:rsidR="002F5709">
                    <w:t>s</w:t>
                  </w:r>
                  <w:r w:rsidR="00A24BCE">
                    <w:t xml:space="preserve"> </w:t>
                  </w:r>
                  <w:r w:rsidR="002F5709">
                    <w:t>t</w:t>
                  </w:r>
                  <w:r w:rsidR="00A24BCE">
                    <w:t>o identify where</w:t>
                  </w:r>
                  <w:r w:rsidR="007E4E33">
                    <w:t>,</w:t>
                  </w:r>
                  <w:r w:rsidR="00A24BCE">
                    <w:t xml:space="preserve"> in relation to this </w:t>
                  </w:r>
                  <w:r w:rsidR="002F5709">
                    <w:t>a</w:t>
                  </w:r>
                  <w:r w:rsidR="00A24BCE">
                    <w:t xml:space="preserve"> charity</w:t>
                  </w:r>
                  <w:r w:rsidR="002F5709">
                    <w:t>’s position</w:t>
                  </w:r>
                  <w:r w:rsidR="00A24BCE">
                    <w:t xml:space="preserve"> is and what </w:t>
                  </w:r>
                  <w:r w:rsidR="002F5709">
                    <w:t>this might</w:t>
                  </w:r>
                  <w:r w:rsidR="00A24BCE">
                    <w:t xml:space="preserve"> mean, depending on</w:t>
                  </w:r>
                  <w:r w:rsidR="002F5709">
                    <w:t xml:space="preserve"> its</w:t>
                  </w:r>
                  <w:r w:rsidR="00A24BCE">
                    <w:t xml:space="preserve"> size and </w:t>
                  </w:r>
                  <w:r w:rsidR="002F5709">
                    <w:t xml:space="preserve">resource </w:t>
                  </w:r>
                  <w:r w:rsidR="00A24BCE">
                    <w:t>needs. Charities need</w:t>
                  </w:r>
                  <w:r w:rsidR="002F5709">
                    <w:t xml:space="preserve"> to</w:t>
                  </w:r>
                  <w:r w:rsidR="00A24BCE">
                    <w:t xml:space="preserve"> remember that</w:t>
                  </w:r>
                  <w:r w:rsidR="002F5709">
                    <w:t xml:space="preserve"> the reserves position </w:t>
                  </w:r>
                  <w:r w:rsidR="00A24BCE">
                    <w:t xml:space="preserve">is </w:t>
                  </w:r>
                  <w:r w:rsidR="002F5709">
                    <w:t xml:space="preserve">only </w:t>
                  </w:r>
                  <w:r w:rsidR="00A24BCE">
                    <w:t xml:space="preserve">a part of all the resources available to them and </w:t>
                  </w:r>
                  <w:r w:rsidR="002F5709">
                    <w:t>for some</w:t>
                  </w:r>
                  <w:r w:rsidR="00227F19">
                    <w:t>,</w:t>
                  </w:r>
                  <w:r w:rsidR="002F5709">
                    <w:t xml:space="preserve"> it</w:t>
                  </w:r>
                  <w:r w:rsidR="00A24BCE">
                    <w:t xml:space="preserve"> may be a small part</w:t>
                  </w:r>
                  <w:r w:rsidR="00AB5B73">
                    <w:t xml:space="preserve">. </w:t>
                  </w:r>
                </w:p>
                <w:p w14:paraId="2C3977F6" w14:textId="3C9EDD85" w:rsidR="00A24BCE" w:rsidRDefault="00AB5B73" w:rsidP="00A24BCE">
                  <w:r>
                    <w:t>It was noted that many larger charities are</w:t>
                  </w:r>
                  <w:r w:rsidR="00A24BCE">
                    <w:t xml:space="preserve"> abandoning a reserves policy in favour of a liquidity policy which addresses how in future their liquidity will meet the challenges as they arise. Two committee members </w:t>
                  </w:r>
                  <w:r>
                    <w:t>commented that they saw</w:t>
                  </w:r>
                  <w:r w:rsidR="00A24BCE">
                    <w:t xml:space="preserve"> liquidity as a key driver in charities.</w:t>
                  </w:r>
                </w:p>
                <w:p w14:paraId="1B4C304E" w14:textId="4C2D716F" w:rsidR="00A24BCE" w:rsidRDefault="00A24BCE" w:rsidP="00F16A5A">
                  <w:r>
                    <w:t>Th</w:t>
                  </w:r>
                  <w:r w:rsidR="00AB5B73">
                    <w:t>e</w:t>
                  </w:r>
                  <w:r w:rsidR="00451DD2">
                    <w:t xml:space="preserve"> Chair summarised that the Committee generally agreed</w:t>
                  </w:r>
                  <w:r w:rsidR="00A052F8">
                    <w:t xml:space="preserve"> on</w:t>
                  </w:r>
                  <w:r w:rsidR="00451DD2">
                    <w:t xml:space="preserve"> the recommendations</w:t>
                  </w:r>
                  <w:r w:rsidR="00AB5B73">
                    <w:t xml:space="preserve"> </w:t>
                  </w:r>
                  <w:r w:rsidR="00451DD2">
                    <w:t xml:space="preserve">with the caveat about how financial sustainability should be expressed and that this should include commentaries on other resources such as </w:t>
                  </w:r>
                  <w:r w:rsidR="00590F0C">
                    <w:t xml:space="preserve">credit available and cash held. </w:t>
                  </w:r>
                </w:p>
              </w:tc>
              <w:tc>
                <w:tcPr>
                  <w:tcW w:w="839" w:type="dxa"/>
                  <w:vAlign w:val="bottom"/>
                </w:tcPr>
                <w:p w14:paraId="54E5E605" w14:textId="77777777" w:rsidR="00A24BCE" w:rsidRDefault="00A24BCE" w:rsidP="00B122D1">
                  <w:pPr>
                    <w:spacing w:before="100" w:beforeAutospacing="1" w:line="276" w:lineRule="auto"/>
                    <w:rPr>
                      <w:rFonts w:eastAsiaTheme="minorEastAsia"/>
                      <w:lang w:eastAsia="en-GB"/>
                    </w:rPr>
                  </w:pPr>
                </w:p>
              </w:tc>
            </w:tr>
            <w:tr w:rsidR="00AB5B73" w:rsidRPr="00E7339A" w14:paraId="0BF6B07B" w14:textId="77777777" w:rsidTr="00001CE0">
              <w:tc>
                <w:tcPr>
                  <w:tcW w:w="907" w:type="dxa"/>
                </w:tcPr>
                <w:p w14:paraId="0CE90722" w14:textId="7C6D9538" w:rsidR="00AB5B73" w:rsidRDefault="00F57BC8" w:rsidP="00B122D1">
                  <w:pPr>
                    <w:spacing w:before="100" w:beforeAutospacing="1" w:line="276" w:lineRule="auto"/>
                    <w:rPr>
                      <w:rFonts w:eastAsiaTheme="minorEastAsia"/>
                      <w:lang w:eastAsia="en-GB"/>
                    </w:rPr>
                  </w:pPr>
                  <w:r>
                    <w:rPr>
                      <w:rFonts w:eastAsiaTheme="minorEastAsia"/>
                      <w:lang w:eastAsia="en-GB"/>
                    </w:rPr>
                    <w:t>4</w:t>
                  </w:r>
                  <w:r w:rsidR="00AB5B73">
                    <w:rPr>
                      <w:rFonts w:eastAsiaTheme="minorEastAsia"/>
                      <w:lang w:eastAsia="en-GB"/>
                    </w:rPr>
                    <w:t>.</w:t>
                  </w:r>
                  <w:r w:rsidR="0041208F">
                    <w:rPr>
                      <w:rFonts w:eastAsiaTheme="minorEastAsia"/>
                      <w:lang w:eastAsia="en-GB"/>
                    </w:rPr>
                    <w:t>8</w:t>
                  </w:r>
                </w:p>
              </w:tc>
              <w:tc>
                <w:tcPr>
                  <w:tcW w:w="7268" w:type="dxa"/>
                </w:tcPr>
                <w:p w14:paraId="62C3667C" w14:textId="192DB1D8" w:rsidR="00AB5B73" w:rsidRPr="00F16A5A" w:rsidRDefault="00AB5B73" w:rsidP="007E4E33">
                  <w:pPr>
                    <w:rPr>
                      <w:b/>
                      <w:bCs/>
                    </w:rPr>
                  </w:pPr>
                  <w:r w:rsidRPr="00F16A5A">
                    <w:rPr>
                      <w:b/>
                      <w:bCs/>
                    </w:rPr>
                    <w:t>Section 3</w:t>
                  </w:r>
                  <w:r w:rsidR="007E4E33">
                    <w:rPr>
                      <w:b/>
                      <w:bCs/>
                    </w:rPr>
                    <w:t>:</w:t>
                  </w:r>
                  <w:r w:rsidRPr="00F16A5A">
                    <w:rPr>
                      <w:b/>
                      <w:bCs/>
                    </w:rPr>
                    <w:t xml:space="preserve"> Treatment of </w:t>
                  </w:r>
                  <w:r w:rsidR="00590F0C">
                    <w:rPr>
                      <w:b/>
                      <w:bCs/>
                    </w:rPr>
                    <w:t>R</w:t>
                  </w:r>
                  <w:r w:rsidRPr="00F16A5A">
                    <w:rPr>
                      <w:b/>
                      <w:bCs/>
                    </w:rPr>
                    <w:t>eserves in the Primary Financial Statements</w:t>
                  </w:r>
                </w:p>
              </w:tc>
              <w:tc>
                <w:tcPr>
                  <w:tcW w:w="839" w:type="dxa"/>
                  <w:vAlign w:val="bottom"/>
                </w:tcPr>
                <w:p w14:paraId="7D3F99A8" w14:textId="77777777" w:rsidR="00AB5B73" w:rsidRDefault="00AB5B73" w:rsidP="00B122D1">
                  <w:pPr>
                    <w:spacing w:before="100" w:beforeAutospacing="1" w:line="276" w:lineRule="auto"/>
                    <w:rPr>
                      <w:rFonts w:eastAsiaTheme="minorEastAsia"/>
                      <w:lang w:eastAsia="en-GB"/>
                    </w:rPr>
                  </w:pPr>
                </w:p>
              </w:tc>
            </w:tr>
            <w:tr w:rsidR="00AB5B73" w:rsidRPr="00E7339A" w14:paraId="2DC50A03" w14:textId="77777777" w:rsidTr="00001CE0">
              <w:tc>
                <w:tcPr>
                  <w:tcW w:w="907" w:type="dxa"/>
                </w:tcPr>
                <w:p w14:paraId="162043A3" w14:textId="60743881" w:rsidR="00AB5B73" w:rsidRDefault="00F57BC8" w:rsidP="00B122D1">
                  <w:pPr>
                    <w:spacing w:before="100" w:beforeAutospacing="1" w:line="276" w:lineRule="auto"/>
                    <w:rPr>
                      <w:rFonts w:eastAsiaTheme="minorEastAsia"/>
                      <w:lang w:eastAsia="en-GB"/>
                    </w:rPr>
                  </w:pPr>
                  <w:r>
                    <w:rPr>
                      <w:rFonts w:eastAsiaTheme="minorEastAsia"/>
                      <w:lang w:eastAsia="en-GB"/>
                    </w:rPr>
                    <w:t>4</w:t>
                  </w:r>
                  <w:r w:rsidR="00AB5B73">
                    <w:rPr>
                      <w:rFonts w:eastAsiaTheme="minorEastAsia"/>
                      <w:lang w:eastAsia="en-GB"/>
                    </w:rPr>
                    <w:t>.</w:t>
                  </w:r>
                  <w:r w:rsidR="0041208F">
                    <w:rPr>
                      <w:rFonts w:eastAsiaTheme="minorEastAsia"/>
                      <w:lang w:eastAsia="en-GB"/>
                    </w:rPr>
                    <w:t>9</w:t>
                  </w:r>
                </w:p>
              </w:tc>
              <w:tc>
                <w:tcPr>
                  <w:tcW w:w="7268" w:type="dxa"/>
                </w:tcPr>
                <w:p w14:paraId="07043F1C" w14:textId="4D83FEC0" w:rsidR="00590F0C" w:rsidRDefault="00F57BC8" w:rsidP="00AB5B73">
                  <w:r>
                    <w:t>The Committee recognised that it</w:t>
                  </w:r>
                  <w:r w:rsidR="00590F0C">
                    <w:t xml:space="preserve"> had agreed that t</w:t>
                  </w:r>
                  <w:r w:rsidR="00AB5B73">
                    <w:t xml:space="preserve">ying the reserves figure into the figures arising from the accounts is an important principle. </w:t>
                  </w:r>
                </w:p>
                <w:p w14:paraId="19CB8004" w14:textId="188636FF" w:rsidR="00AB5B73" w:rsidRDefault="00AB5B73" w:rsidP="00AB5B73">
                  <w:r>
                    <w:t xml:space="preserve">The current SORP </w:t>
                  </w:r>
                  <w:r w:rsidR="00590F0C">
                    <w:t xml:space="preserve">includes substantial prescription about how reserves are calculated for </w:t>
                  </w:r>
                  <w:r>
                    <w:t>larger charities</w:t>
                  </w:r>
                  <w:r w:rsidR="00590F0C">
                    <w:t xml:space="preserve"> </w:t>
                  </w:r>
                  <w:r>
                    <w:t>but stops short of</w:t>
                  </w:r>
                  <w:r w:rsidR="00590F0C">
                    <w:t xml:space="preserve"> prescribing how this amount </w:t>
                  </w:r>
                  <w:r w:rsidR="00590F0C">
                    <w:lastRenderedPageBreak/>
                    <w:t xml:space="preserve">should be presented </w:t>
                  </w:r>
                  <w:r>
                    <w:t>in the balance sheet</w:t>
                  </w:r>
                  <w:r w:rsidR="00590F0C">
                    <w:t xml:space="preserve">. Paper 3 considers options for reporting this </w:t>
                  </w:r>
                  <w:proofErr w:type="spellStart"/>
                  <w:proofErr w:type="gramStart"/>
                  <w:r w:rsidR="00590F0C">
                    <w:t>ie</w:t>
                  </w:r>
                  <w:proofErr w:type="spellEnd"/>
                  <w:proofErr w:type="gramEnd"/>
                  <w:r>
                    <w:t xml:space="preserve"> whether there should be a new statement, for example</w:t>
                  </w:r>
                  <w:r w:rsidR="00ED1B0C">
                    <w:t>,</w:t>
                  </w:r>
                  <w:r>
                    <w:t xml:space="preserve"> to capture equity and fund</w:t>
                  </w:r>
                  <w:r w:rsidR="00590F0C">
                    <w:t xml:space="preserve">s (which would require adaptation to the Statement of Changes in Equity in FRS 102). </w:t>
                  </w:r>
                </w:p>
                <w:p w14:paraId="0054F616" w14:textId="090C6F0F" w:rsidR="00ED1B0C" w:rsidRDefault="00ED1B0C" w:rsidP="00ED1B0C">
                  <w:r>
                    <w:t xml:space="preserve">The view held by the committee was that it was difficult to separately present reserve amounts on the face of the balance sheet. Commentaries also included that charities were already free to separately present this information on the face of the balance sheet and take their own decision on how they might consider reserves would be best presented, for example, offering a split between designated and general funds. There was broad agreement that achieving </w:t>
                  </w:r>
                  <w:r w:rsidR="009F35C4">
                    <w:t>an effective</w:t>
                  </w:r>
                  <w:r>
                    <w:t xml:space="preserve"> presentation of reserves would be best </w:t>
                  </w:r>
                  <w:r w:rsidR="00E4532E">
                    <w:t xml:space="preserve">offered </w:t>
                  </w:r>
                  <w:r>
                    <w:t>in the notes.</w:t>
                  </w:r>
                </w:p>
                <w:p w14:paraId="4B0869DF" w14:textId="164357E1" w:rsidR="00ED1B0C" w:rsidRDefault="00ED1B0C" w:rsidP="00ED1B0C">
                  <w:r>
                    <w:t xml:space="preserve">The Committee considered that a new Statement would add further detail to the financial statements, and it was not clear what new information this statement was intended to present. Information on reserves is already presented in the balance sheet in its analysis of restricted/ designated/ unrestricted </w:t>
                  </w:r>
                  <w:r w:rsidR="000200BC">
                    <w:t>funds,</w:t>
                  </w:r>
                  <w:r>
                    <w:t xml:space="preserve"> if necessary</w:t>
                  </w:r>
                  <w:r w:rsidR="000200BC">
                    <w:t>,</w:t>
                  </w:r>
                  <w:r>
                    <w:t xml:space="preserve"> additional reporting could be added for free reserves. Similarly, the movement on funds note could be adjusted to include the same information.</w:t>
                  </w:r>
                </w:p>
                <w:p w14:paraId="6774B94F" w14:textId="066585B8" w:rsidR="00590F0C" w:rsidRDefault="000200BC" w:rsidP="00AB5B73">
                  <w:r>
                    <w:t>In summary</w:t>
                  </w:r>
                  <w:r w:rsidR="00A052F8">
                    <w:t>,</w:t>
                  </w:r>
                  <w:r>
                    <w:t xml:space="preserve"> t</w:t>
                  </w:r>
                  <w:r w:rsidR="00AB5B73">
                    <w:t>h</w:t>
                  </w:r>
                  <w:r w:rsidR="00590F0C">
                    <w:t>e C</w:t>
                  </w:r>
                  <w:r w:rsidR="00AB5B73">
                    <w:t xml:space="preserve">ommittee </w:t>
                  </w:r>
                  <w:r w:rsidR="00590F0C">
                    <w:t xml:space="preserve">did not support </w:t>
                  </w:r>
                  <w:r w:rsidR="00AB5B73">
                    <w:t xml:space="preserve">a new statement. </w:t>
                  </w:r>
                </w:p>
                <w:p w14:paraId="2EFADE17" w14:textId="2B141BEB" w:rsidR="00AB5B73" w:rsidRDefault="00590F0C" w:rsidP="00AB5B73">
                  <w:r>
                    <w:t>Some support was expressed for reporting reserves as a separate amount in the balance sheet. However,</w:t>
                  </w:r>
                  <w:r w:rsidR="00AB5B73">
                    <w:t xml:space="preserve"> </w:t>
                  </w:r>
                  <w:r>
                    <w:t xml:space="preserve">the Committee had </w:t>
                  </w:r>
                  <w:r w:rsidR="00AB5B73">
                    <w:t xml:space="preserve">reservations </w:t>
                  </w:r>
                  <w:r>
                    <w:t>about</w:t>
                  </w:r>
                  <w:r w:rsidR="00AB5B73">
                    <w:t xml:space="preserve"> whether this</w:t>
                  </w:r>
                  <w:r>
                    <w:t xml:space="preserve"> amount/line</w:t>
                  </w:r>
                  <w:r w:rsidR="00AB5B73">
                    <w:t xml:space="preserve"> would be clear and </w:t>
                  </w:r>
                  <w:r>
                    <w:t>easily understood by the users of the accounts and</w:t>
                  </w:r>
                  <w:r w:rsidR="00AB5B73">
                    <w:t xml:space="preserve"> within the current context of the balance sheet. The Committee would therefore prefer that </w:t>
                  </w:r>
                  <w:r>
                    <w:t>any presentation of reserves is provided as</w:t>
                  </w:r>
                  <w:r w:rsidR="00AB5B73">
                    <w:t xml:space="preserve"> demonstrated within a note to the financial statements.</w:t>
                  </w:r>
                </w:p>
                <w:p w14:paraId="6ECF9476" w14:textId="77777777" w:rsidR="00AB5B73" w:rsidRDefault="00AB5B73" w:rsidP="00F16A5A"/>
              </w:tc>
              <w:tc>
                <w:tcPr>
                  <w:tcW w:w="839" w:type="dxa"/>
                  <w:vAlign w:val="bottom"/>
                </w:tcPr>
                <w:p w14:paraId="2C7F6150" w14:textId="77777777" w:rsidR="00AB5B73" w:rsidRDefault="00AB5B73" w:rsidP="00B122D1">
                  <w:pPr>
                    <w:spacing w:before="100" w:beforeAutospacing="1" w:line="276" w:lineRule="auto"/>
                    <w:rPr>
                      <w:rFonts w:eastAsiaTheme="minorEastAsia"/>
                      <w:lang w:eastAsia="en-GB"/>
                    </w:rPr>
                  </w:pPr>
                </w:p>
              </w:tc>
            </w:tr>
            <w:tr w:rsidR="000200BC" w:rsidRPr="00E7339A" w14:paraId="1EEB8385" w14:textId="77777777" w:rsidTr="00001CE0">
              <w:tc>
                <w:tcPr>
                  <w:tcW w:w="907" w:type="dxa"/>
                </w:tcPr>
                <w:p w14:paraId="6BF6D190" w14:textId="613BFD72" w:rsidR="000200BC" w:rsidRDefault="00F57BC8" w:rsidP="00B122D1">
                  <w:pPr>
                    <w:spacing w:before="100" w:beforeAutospacing="1" w:line="276" w:lineRule="auto"/>
                    <w:rPr>
                      <w:rFonts w:eastAsiaTheme="minorEastAsia"/>
                      <w:lang w:eastAsia="en-GB"/>
                    </w:rPr>
                  </w:pPr>
                  <w:r>
                    <w:rPr>
                      <w:rFonts w:eastAsiaTheme="minorEastAsia"/>
                      <w:lang w:eastAsia="en-GB"/>
                    </w:rPr>
                    <w:t>4</w:t>
                  </w:r>
                  <w:r w:rsidR="000200BC">
                    <w:rPr>
                      <w:rFonts w:eastAsiaTheme="minorEastAsia"/>
                      <w:lang w:eastAsia="en-GB"/>
                    </w:rPr>
                    <w:t>.</w:t>
                  </w:r>
                  <w:r w:rsidR="0041208F">
                    <w:rPr>
                      <w:rFonts w:eastAsiaTheme="minorEastAsia"/>
                      <w:lang w:eastAsia="en-GB"/>
                    </w:rPr>
                    <w:t>10</w:t>
                  </w:r>
                </w:p>
              </w:tc>
              <w:tc>
                <w:tcPr>
                  <w:tcW w:w="7268" w:type="dxa"/>
                </w:tcPr>
                <w:p w14:paraId="76D27A9E" w14:textId="4054B160" w:rsidR="000200BC" w:rsidRDefault="000200BC" w:rsidP="00E4532E">
                  <w:r w:rsidRPr="000200A3">
                    <w:rPr>
                      <w:b/>
                      <w:bCs/>
                      <w:szCs w:val="20"/>
                    </w:rPr>
                    <w:t>Section 4</w:t>
                  </w:r>
                  <w:r w:rsidR="00E4532E">
                    <w:rPr>
                      <w:b/>
                      <w:bCs/>
                      <w:szCs w:val="20"/>
                    </w:rPr>
                    <w:t>:</w:t>
                  </w:r>
                  <w:r w:rsidR="00E4532E" w:rsidRPr="000200A3">
                    <w:rPr>
                      <w:b/>
                      <w:bCs/>
                      <w:szCs w:val="20"/>
                    </w:rPr>
                    <w:t xml:space="preserve"> </w:t>
                  </w:r>
                  <w:r w:rsidRPr="000200A3">
                    <w:rPr>
                      <w:b/>
                      <w:bCs/>
                      <w:szCs w:val="20"/>
                    </w:rPr>
                    <w:t xml:space="preserve">Treatment in the </w:t>
                  </w:r>
                  <w:r>
                    <w:rPr>
                      <w:b/>
                      <w:bCs/>
                      <w:szCs w:val="20"/>
                    </w:rPr>
                    <w:t>N</w:t>
                  </w:r>
                  <w:r w:rsidRPr="000200A3">
                    <w:rPr>
                      <w:b/>
                      <w:bCs/>
                      <w:szCs w:val="20"/>
                    </w:rPr>
                    <w:t xml:space="preserve">otes to the </w:t>
                  </w:r>
                  <w:r>
                    <w:rPr>
                      <w:b/>
                      <w:bCs/>
                      <w:szCs w:val="20"/>
                    </w:rPr>
                    <w:t>A</w:t>
                  </w:r>
                  <w:r w:rsidRPr="000200A3">
                    <w:rPr>
                      <w:b/>
                      <w:bCs/>
                      <w:szCs w:val="20"/>
                    </w:rPr>
                    <w:t xml:space="preserve">ccounts including the </w:t>
                  </w:r>
                  <w:r>
                    <w:rPr>
                      <w:b/>
                      <w:bCs/>
                      <w:szCs w:val="20"/>
                    </w:rPr>
                    <w:t>A</w:t>
                  </w:r>
                  <w:r w:rsidRPr="000200A3">
                    <w:rPr>
                      <w:b/>
                      <w:bCs/>
                      <w:szCs w:val="20"/>
                    </w:rPr>
                    <w:t xml:space="preserve">ssessment of </w:t>
                  </w:r>
                  <w:r>
                    <w:rPr>
                      <w:b/>
                      <w:bCs/>
                      <w:szCs w:val="20"/>
                    </w:rPr>
                    <w:t>G</w:t>
                  </w:r>
                  <w:r w:rsidRPr="000200A3">
                    <w:rPr>
                      <w:b/>
                      <w:bCs/>
                      <w:szCs w:val="20"/>
                    </w:rPr>
                    <w:t xml:space="preserve">oing </w:t>
                  </w:r>
                  <w:r>
                    <w:rPr>
                      <w:b/>
                      <w:bCs/>
                      <w:szCs w:val="20"/>
                    </w:rPr>
                    <w:t>C</w:t>
                  </w:r>
                  <w:r w:rsidRPr="000200A3">
                    <w:rPr>
                      <w:b/>
                      <w:bCs/>
                      <w:szCs w:val="20"/>
                    </w:rPr>
                    <w:t>oncern</w:t>
                  </w:r>
                </w:p>
              </w:tc>
              <w:tc>
                <w:tcPr>
                  <w:tcW w:w="839" w:type="dxa"/>
                  <w:vAlign w:val="bottom"/>
                </w:tcPr>
                <w:p w14:paraId="03B7029A" w14:textId="77777777" w:rsidR="000200BC" w:rsidRDefault="000200BC" w:rsidP="00B122D1">
                  <w:pPr>
                    <w:spacing w:before="100" w:beforeAutospacing="1" w:line="276" w:lineRule="auto"/>
                    <w:rPr>
                      <w:rFonts w:eastAsiaTheme="minorEastAsia"/>
                      <w:lang w:eastAsia="en-GB"/>
                    </w:rPr>
                  </w:pPr>
                </w:p>
              </w:tc>
            </w:tr>
            <w:tr w:rsidR="000200BC" w:rsidRPr="00E7339A" w14:paraId="47E9091D" w14:textId="77777777" w:rsidTr="00001CE0">
              <w:tc>
                <w:tcPr>
                  <w:tcW w:w="907" w:type="dxa"/>
                </w:tcPr>
                <w:p w14:paraId="5CC2FA33" w14:textId="4CD9F5B2" w:rsidR="000200BC" w:rsidRDefault="00F57BC8" w:rsidP="00B122D1">
                  <w:pPr>
                    <w:spacing w:before="100" w:beforeAutospacing="1" w:line="276" w:lineRule="auto"/>
                    <w:rPr>
                      <w:rFonts w:eastAsiaTheme="minorEastAsia"/>
                      <w:lang w:eastAsia="en-GB"/>
                    </w:rPr>
                  </w:pPr>
                  <w:r>
                    <w:rPr>
                      <w:rFonts w:eastAsiaTheme="minorEastAsia"/>
                      <w:lang w:eastAsia="en-GB"/>
                    </w:rPr>
                    <w:t>4</w:t>
                  </w:r>
                  <w:r w:rsidR="000200BC">
                    <w:rPr>
                      <w:rFonts w:eastAsiaTheme="minorEastAsia"/>
                      <w:lang w:eastAsia="en-GB"/>
                    </w:rPr>
                    <w:t>.1</w:t>
                  </w:r>
                  <w:r w:rsidR="0041208F">
                    <w:rPr>
                      <w:rFonts w:eastAsiaTheme="minorEastAsia"/>
                      <w:lang w:eastAsia="en-GB"/>
                    </w:rPr>
                    <w:t>1</w:t>
                  </w:r>
                </w:p>
              </w:tc>
              <w:tc>
                <w:tcPr>
                  <w:tcW w:w="7268" w:type="dxa"/>
                </w:tcPr>
                <w:p w14:paraId="07E26B97" w14:textId="234A3E87" w:rsidR="000200BC" w:rsidRDefault="000200BC" w:rsidP="000200BC">
                  <w:r>
                    <w:t xml:space="preserve">The Chair pointed out that there are two </w:t>
                  </w:r>
                  <w:r w:rsidR="00A052F8">
                    <w:t xml:space="preserve">separate </w:t>
                  </w:r>
                  <w:r>
                    <w:t xml:space="preserve">proposals for the committee to consider </w:t>
                  </w:r>
                  <w:proofErr w:type="spellStart"/>
                  <w:proofErr w:type="gramStart"/>
                  <w:r>
                    <w:t>ie</w:t>
                  </w:r>
                  <w:proofErr w:type="spellEnd"/>
                  <w:proofErr w:type="gramEnd"/>
                  <w:r>
                    <w:t xml:space="preserve"> </w:t>
                  </w:r>
                  <w:r w:rsidR="00940708">
                    <w:t>did it</w:t>
                  </w:r>
                  <w:r>
                    <w:t>:</w:t>
                  </w:r>
                </w:p>
                <w:p w14:paraId="144634FC" w14:textId="3306C9A6" w:rsidR="000200BC" w:rsidRPr="000200A3" w:rsidRDefault="00940708" w:rsidP="000200BC">
                  <w:pPr>
                    <w:pStyle w:val="Default"/>
                    <w:numPr>
                      <w:ilvl w:val="0"/>
                      <w:numId w:val="35"/>
                    </w:numPr>
                    <w:spacing w:after="59"/>
                    <w:ind w:left="360" w:hanging="360"/>
                    <w:rPr>
                      <w:sz w:val="20"/>
                      <w:szCs w:val="20"/>
                    </w:rPr>
                  </w:pPr>
                  <w:r>
                    <w:rPr>
                      <w:sz w:val="20"/>
                      <w:szCs w:val="20"/>
                    </w:rPr>
                    <w:t>a</w:t>
                  </w:r>
                  <w:r w:rsidR="000200BC" w:rsidRPr="000200A3">
                    <w:rPr>
                      <w:sz w:val="20"/>
                      <w:szCs w:val="20"/>
                    </w:rPr>
                    <w:t xml:space="preserve">gree to add a dedicated note to the accounts on reserves which is linked to the approach taken with the trustees’ annual report </w:t>
                  </w:r>
                </w:p>
                <w:p w14:paraId="646B52B4" w14:textId="568F85A4" w:rsidR="000200BC" w:rsidRDefault="00940708" w:rsidP="000200BC">
                  <w:pPr>
                    <w:pStyle w:val="Default"/>
                    <w:numPr>
                      <w:ilvl w:val="0"/>
                      <w:numId w:val="35"/>
                    </w:numPr>
                    <w:ind w:left="360" w:hanging="360"/>
                    <w:rPr>
                      <w:sz w:val="20"/>
                      <w:szCs w:val="20"/>
                    </w:rPr>
                  </w:pPr>
                  <w:r>
                    <w:rPr>
                      <w:sz w:val="20"/>
                      <w:szCs w:val="20"/>
                    </w:rPr>
                    <w:t>a</w:t>
                  </w:r>
                  <w:r w:rsidR="000200BC" w:rsidRPr="000200A3">
                    <w:rPr>
                      <w:sz w:val="20"/>
                      <w:szCs w:val="20"/>
                    </w:rPr>
                    <w:t xml:space="preserve">gree to reviewing the current going concern disclosures at the drafting stage to link that note to the approach taken by trustees in holding and maintaining reserves. </w:t>
                  </w:r>
                </w:p>
                <w:p w14:paraId="5B06C143" w14:textId="77777777" w:rsidR="004159C0" w:rsidRPr="000200A3" w:rsidRDefault="004159C0" w:rsidP="001726C7">
                  <w:pPr>
                    <w:pStyle w:val="Default"/>
                    <w:ind w:left="360"/>
                    <w:rPr>
                      <w:sz w:val="20"/>
                      <w:szCs w:val="20"/>
                    </w:rPr>
                  </w:pPr>
                </w:p>
                <w:p w14:paraId="274488B9" w14:textId="0600E50D" w:rsidR="000200BC" w:rsidRDefault="000200BC" w:rsidP="000200BC">
                  <w:r>
                    <w:t xml:space="preserve">In </w:t>
                  </w:r>
                  <w:r w:rsidR="00940708">
                    <w:t>addition,</w:t>
                  </w:r>
                  <w:r>
                    <w:t xml:space="preserve"> there may be audit implications, as aspects </w:t>
                  </w:r>
                  <w:r w:rsidR="00940708">
                    <w:t xml:space="preserve">of </w:t>
                  </w:r>
                  <w:r>
                    <w:t xml:space="preserve">the annual report are </w:t>
                  </w:r>
                  <w:r w:rsidR="00940708">
                    <w:t xml:space="preserve">to be subject to </w:t>
                  </w:r>
                  <w:r>
                    <w:t xml:space="preserve">audit. </w:t>
                  </w:r>
                </w:p>
                <w:p w14:paraId="619BA6A3" w14:textId="7339C453" w:rsidR="000200BC" w:rsidRDefault="00940708" w:rsidP="000200BC">
                  <w:r>
                    <w:t xml:space="preserve">A </w:t>
                  </w:r>
                  <w:r w:rsidR="00DB390B">
                    <w:t xml:space="preserve">committee </w:t>
                  </w:r>
                  <w:r>
                    <w:t>member enquired what</w:t>
                  </w:r>
                  <w:r w:rsidR="000200BC">
                    <w:t xml:space="preserve"> is the problem that</w:t>
                  </w:r>
                  <w:r>
                    <w:t xml:space="preserve"> it</w:t>
                  </w:r>
                  <w:r w:rsidR="000200BC">
                    <w:t xml:space="preserve"> </w:t>
                  </w:r>
                  <w:r>
                    <w:t xml:space="preserve">is being asked </w:t>
                  </w:r>
                  <w:r w:rsidR="000200BC">
                    <w:t>to resolve</w:t>
                  </w:r>
                  <w:r>
                    <w:t>. T</w:t>
                  </w:r>
                  <w:r w:rsidR="000200BC">
                    <w:t xml:space="preserve">here are </w:t>
                  </w:r>
                  <w:proofErr w:type="gramStart"/>
                  <w:r w:rsidR="000200BC">
                    <w:t>a number of</w:t>
                  </w:r>
                  <w:proofErr w:type="gramEnd"/>
                  <w:r w:rsidR="000200BC">
                    <w:t xml:space="preserve"> concerns that were raised </w:t>
                  </w:r>
                  <w:r>
                    <w:t xml:space="preserve">by </w:t>
                  </w:r>
                  <w:r w:rsidR="000200BC">
                    <w:t xml:space="preserve">the </w:t>
                  </w:r>
                  <w:r>
                    <w:t xml:space="preserve">engagement </w:t>
                  </w:r>
                  <w:r w:rsidR="000200BC">
                    <w:t>strands</w:t>
                  </w:r>
                  <w:r>
                    <w:t xml:space="preserve">: </w:t>
                  </w:r>
                </w:p>
                <w:p w14:paraId="2B549EF2" w14:textId="374C4FB3" w:rsidR="000200BC" w:rsidRDefault="000200BC" w:rsidP="000200BC">
                  <w:pPr>
                    <w:pStyle w:val="ListParagraph"/>
                    <w:numPr>
                      <w:ilvl w:val="0"/>
                      <w:numId w:val="36"/>
                    </w:numPr>
                    <w:ind w:left="357" w:hanging="357"/>
                  </w:pPr>
                  <w:r>
                    <w:t>A lack of understanding</w:t>
                  </w:r>
                  <w:r w:rsidR="00940708">
                    <w:t xml:space="preserve"> as to what reserves represent – the SORP cannot resolve this issue.</w:t>
                  </w:r>
                </w:p>
                <w:p w14:paraId="68627AAF" w14:textId="577EA996" w:rsidR="000200BC" w:rsidRDefault="00940708" w:rsidP="000200BC">
                  <w:pPr>
                    <w:pStyle w:val="ListParagraph"/>
                    <w:numPr>
                      <w:ilvl w:val="0"/>
                      <w:numId w:val="36"/>
                    </w:numPr>
                    <w:ind w:left="357" w:hanging="357"/>
                  </w:pPr>
                  <w:r>
                    <w:t>C</w:t>
                  </w:r>
                  <w:r w:rsidR="000200BC">
                    <w:t>omments</w:t>
                  </w:r>
                  <w:r>
                    <w:t xml:space="preserve"> were included </w:t>
                  </w:r>
                  <w:r w:rsidR="000200BC">
                    <w:t xml:space="preserve">about funders not being able to navigate the information that is available, </w:t>
                  </w:r>
                  <w:r>
                    <w:t xml:space="preserve">and about </w:t>
                  </w:r>
                  <w:r w:rsidR="000200BC">
                    <w:t xml:space="preserve">charities trying to </w:t>
                  </w:r>
                  <w:r>
                    <w:t>‘</w:t>
                  </w:r>
                  <w:r w:rsidR="000200BC">
                    <w:t>squirrel away</w:t>
                  </w:r>
                  <w:r>
                    <w:t>’ money</w:t>
                  </w:r>
                  <w:r w:rsidR="000200BC">
                    <w:t xml:space="preserve"> </w:t>
                  </w:r>
                  <w:r>
                    <w:t xml:space="preserve">to alter their financial position. </w:t>
                  </w:r>
                </w:p>
                <w:p w14:paraId="2509846F" w14:textId="53F56AE0" w:rsidR="000200BC" w:rsidRDefault="000200BC" w:rsidP="000200BC">
                  <w:r>
                    <w:lastRenderedPageBreak/>
                    <w:t>There</w:t>
                  </w:r>
                  <w:r w:rsidR="00940708">
                    <w:t xml:space="preserve"> appears to be</w:t>
                  </w:r>
                  <w:r>
                    <w:t xml:space="preserve"> a fundamental point regarding the understanding of </w:t>
                  </w:r>
                  <w:r w:rsidR="00940708">
                    <w:t>reserves in the accounts</w:t>
                  </w:r>
                  <w:r>
                    <w:t xml:space="preserve"> that needs to be addressed</w:t>
                  </w:r>
                  <w:r w:rsidR="00940708">
                    <w:t>. This might require a</w:t>
                  </w:r>
                  <w:r>
                    <w:t xml:space="preserve"> more detailed conversation about the understanding of reserves </w:t>
                  </w:r>
                  <w:r w:rsidR="00940708">
                    <w:t>by</w:t>
                  </w:r>
                  <w:r>
                    <w:t xml:space="preserve"> the sector before </w:t>
                  </w:r>
                  <w:r w:rsidR="00940708">
                    <w:t>leading to more prescription in the SORP with a possibility of leading to more difficulties with SORP compliance</w:t>
                  </w:r>
                  <w:r>
                    <w:t>.</w:t>
                  </w:r>
                </w:p>
                <w:p w14:paraId="792A6FA3" w14:textId="102D1518" w:rsidR="000200BC" w:rsidRDefault="000200BC" w:rsidP="000200BC">
                  <w:r>
                    <w:t xml:space="preserve">This in turn comes back to the point that there is a lack of understanding as to what reserves are. </w:t>
                  </w:r>
                  <w:r w:rsidR="00940708">
                    <w:t xml:space="preserve">The Committee considered that it </w:t>
                  </w:r>
                  <w:r>
                    <w:t>need</w:t>
                  </w:r>
                  <w:r w:rsidR="00940708">
                    <w:t>ed</w:t>
                  </w:r>
                  <w:r>
                    <w:t xml:space="preserve"> to be mindful that there are limitations as to </w:t>
                  </w:r>
                  <w:r w:rsidR="00A052F8">
                    <w:t xml:space="preserve">what </w:t>
                  </w:r>
                  <w:r>
                    <w:t>the SORP can achieve</w:t>
                  </w:r>
                  <w:r w:rsidR="00940708">
                    <w:t xml:space="preserve"> in this area</w:t>
                  </w:r>
                  <w:r>
                    <w:t>.</w:t>
                  </w:r>
                </w:p>
                <w:p w14:paraId="6C09ADD5" w14:textId="5F553BB5" w:rsidR="000200BC" w:rsidRDefault="000E461B" w:rsidP="000200BC">
                  <w:r>
                    <w:t>The Committee agreed that it n</w:t>
                  </w:r>
                  <w:r w:rsidR="000200BC">
                    <w:t>eed</w:t>
                  </w:r>
                  <w:r>
                    <w:t>ed</w:t>
                  </w:r>
                  <w:r w:rsidR="000200BC">
                    <w:t xml:space="preserve"> to be careful of responding to </w:t>
                  </w:r>
                  <w:r w:rsidR="00940708">
                    <w:t>the wrong issue</w:t>
                  </w:r>
                  <w:r w:rsidR="000200BC">
                    <w:t xml:space="preserve">. </w:t>
                  </w:r>
                  <w:r w:rsidR="00940708">
                    <w:t xml:space="preserve">An example was given that it is often considered by the public that </w:t>
                  </w:r>
                  <w:r w:rsidR="000200BC">
                    <w:t>charity C</w:t>
                  </w:r>
                  <w:r w:rsidR="00940708">
                    <w:t xml:space="preserve">hief Executive Officer </w:t>
                  </w:r>
                  <w:r w:rsidR="000200BC">
                    <w:t>salaries were too high</w:t>
                  </w:r>
                  <w:r>
                    <w:t>. The SORP or other reporting arrangement cannot address this issue</w:t>
                  </w:r>
                  <w:r w:rsidR="000200BC">
                    <w:t>. Eventually</w:t>
                  </w:r>
                  <w:r w:rsidR="00A052F8">
                    <w:t>,</w:t>
                  </w:r>
                  <w:r w:rsidR="000200BC">
                    <w:t xml:space="preserve"> a solution was forced on the sector that does not address the issue with public perception and trust.</w:t>
                  </w:r>
                </w:p>
                <w:p w14:paraId="4A5EBAB1" w14:textId="63E07BFF" w:rsidR="000200BC" w:rsidRDefault="000200BC" w:rsidP="000200BC">
                  <w:r>
                    <w:t xml:space="preserve">There was strong agreement from the Committee that the information is already in the accounts and so any changes </w:t>
                  </w:r>
                  <w:r w:rsidR="000E461B">
                    <w:t xml:space="preserve">should be considering presentation and ensuring that there is </w:t>
                  </w:r>
                  <w:r w:rsidR="00A052F8">
                    <w:t xml:space="preserve">a </w:t>
                  </w:r>
                  <w:r w:rsidR="000E461B">
                    <w:t>linkage between what is reported in the trustees’ annual report and what is in</w:t>
                  </w:r>
                  <w:r>
                    <w:t xml:space="preserve"> the accounts. </w:t>
                  </w:r>
                </w:p>
                <w:p w14:paraId="4D6E0770" w14:textId="3601DF65" w:rsidR="000E461B" w:rsidRDefault="000200BC" w:rsidP="000200BC">
                  <w:r>
                    <w:t xml:space="preserve">If the </w:t>
                  </w:r>
                  <w:r w:rsidR="000E461B">
                    <w:t xml:space="preserve">amounts relating to reserves </w:t>
                  </w:r>
                  <w:r>
                    <w:t xml:space="preserve">in the accounts </w:t>
                  </w:r>
                  <w:r w:rsidR="000E461B">
                    <w:t>are</w:t>
                  </w:r>
                  <w:r>
                    <w:t xml:space="preserve"> not</w:t>
                  </w:r>
                  <w:r w:rsidR="000E461B">
                    <w:t xml:space="preserve"> easily identifiable </w:t>
                  </w:r>
                  <w:r>
                    <w:t xml:space="preserve">then funders and </w:t>
                  </w:r>
                  <w:r w:rsidR="000E461B">
                    <w:t>other users</w:t>
                  </w:r>
                  <w:r>
                    <w:t xml:space="preserve"> start to make the</w:t>
                  </w:r>
                  <w:r w:rsidR="000E461B">
                    <w:t>ir own estimation of what these amounts might be.</w:t>
                  </w:r>
                  <w:r>
                    <w:t xml:space="preserve"> </w:t>
                  </w:r>
                  <w:r w:rsidR="000E461B">
                    <w:t>P</w:t>
                  </w:r>
                  <w:r>
                    <w:t xml:space="preserve">erhaps the SORP should </w:t>
                  </w:r>
                  <w:r w:rsidR="000E461B">
                    <w:t xml:space="preserve">ensure that relevant information is easily identifiable and that it is clear how </w:t>
                  </w:r>
                  <w:r w:rsidR="00A052F8">
                    <w:t xml:space="preserve">the </w:t>
                  </w:r>
                  <w:r w:rsidR="000E461B">
                    <w:t>estimation of the relevant information has been made</w:t>
                  </w:r>
                  <w:r>
                    <w:t xml:space="preserve">. </w:t>
                  </w:r>
                </w:p>
                <w:p w14:paraId="693E2D2A" w14:textId="0C011890" w:rsidR="000200BC" w:rsidRDefault="000E461B" w:rsidP="000200BC">
                  <w:r>
                    <w:t xml:space="preserve">The Committee, however, recognised that the </w:t>
                  </w:r>
                  <w:r w:rsidR="000200BC">
                    <w:t xml:space="preserve">SORP </w:t>
                  </w:r>
                  <w:r>
                    <w:t>cannot be ‘</w:t>
                  </w:r>
                  <w:r w:rsidR="000200BC">
                    <w:t>all things to all people</w:t>
                  </w:r>
                  <w:r>
                    <w:t>’</w:t>
                  </w:r>
                  <w:r w:rsidR="000200BC">
                    <w:t xml:space="preserve">. </w:t>
                  </w:r>
                  <w:r>
                    <w:t>One of the Joint C</w:t>
                  </w:r>
                  <w:r w:rsidR="000200BC">
                    <w:t xml:space="preserve">hairs </w:t>
                  </w:r>
                  <w:r>
                    <w:t>noted that the Trustees</w:t>
                  </w:r>
                  <w:r w:rsidR="000200BC">
                    <w:t xml:space="preserve"> engagement stra</w:t>
                  </w:r>
                  <w:r>
                    <w:t xml:space="preserve">nd considered the case for more information to be provided on reserves. </w:t>
                  </w:r>
                  <w:r w:rsidR="000200BC">
                    <w:t xml:space="preserve"> However, consideration </w:t>
                  </w:r>
                  <w:r>
                    <w:t xml:space="preserve">needs to be made </w:t>
                  </w:r>
                  <w:r w:rsidR="000200BC">
                    <w:t>as to what it is trying to</w:t>
                  </w:r>
                  <w:r>
                    <w:t xml:space="preserve"> be</w:t>
                  </w:r>
                  <w:r w:rsidR="000200BC">
                    <w:t xml:space="preserve"> achieve</w:t>
                  </w:r>
                  <w:r>
                    <w:t xml:space="preserve">d. The </w:t>
                  </w:r>
                  <w:r w:rsidR="000200BC">
                    <w:t xml:space="preserve">SORP </w:t>
                  </w:r>
                  <w:r>
                    <w:t xml:space="preserve">sets out requirements for effective financial reporting. It is potentially the case that </w:t>
                  </w:r>
                  <w:r w:rsidR="000200BC">
                    <w:t>matters such as liquidity and cash are management accounting matters and therefore not a matter for the financial statements.</w:t>
                  </w:r>
                </w:p>
                <w:p w14:paraId="3F05675F" w14:textId="1547CF44" w:rsidR="000200BC" w:rsidRDefault="000200BC" w:rsidP="00F16A5A">
                  <w:r>
                    <w:t>In summary</w:t>
                  </w:r>
                  <w:r w:rsidR="0019681B">
                    <w:t>,</w:t>
                  </w:r>
                  <w:r>
                    <w:t xml:space="preserve"> the </w:t>
                  </w:r>
                  <w:r w:rsidR="00DB390B">
                    <w:t xml:space="preserve">Committee </w:t>
                  </w:r>
                  <w:r>
                    <w:t xml:space="preserve">decided </w:t>
                  </w:r>
                  <w:r w:rsidR="000E461B">
                    <w:t>not to recommend that there should be a</w:t>
                  </w:r>
                  <w:r>
                    <w:t>dditional</w:t>
                  </w:r>
                  <w:r w:rsidR="000E461B">
                    <w:t xml:space="preserve"> reporting requirements </w:t>
                  </w:r>
                  <w:r>
                    <w:t xml:space="preserve">and no additional </w:t>
                  </w:r>
                  <w:r w:rsidR="00CD6376">
                    <w:t>amounts reported</w:t>
                  </w:r>
                  <w:r>
                    <w:t xml:space="preserve"> in the </w:t>
                  </w:r>
                  <w:r w:rsidR="00CD6376">
                    <w:t xml:space="preserve">trustees’ annual report. </w:t>
                  </w:r>
                  <w:r>
                    <w:t xml:space="preserve"> However, if a number is used in the </w:t>
                  </w:r>
                  <w:r w:rsidR="00CD6376">
                    <w:t>trustees</w:t>
                  </w:r>
                  <w:r w:rsidR="00DB390B">
                    <w:t>’</w:t>
                  </w:r>
                  <w:r w:rsidR="00CD6376">
                    <w:t xml:space="preserve"> annual </w:t>
                  </w:r>
                  <w:r w:rsidR="00FF3A2D">
                    <w:t>report on</w:t>
                  </w:r>
                  <w:r w:rsidR="00CD6376">
                    <w:t xml:space="preserve"> reserves a clear explanation should be provided for how it was estimated</w:t>
                  </w:r>
                  <w:r>
                    <w:t>.</w:t>
                  </w:r>
                </w:p>
              </w:tc>
              <w:tc>
                <w:tcPr>
                  <w:tcW w:w="839" w:type="dxa"/>
                  <w:vAlign w:val="bottom"/>
                </w:tcPr>
                <w:p w14:paraId="4D5B701E" w14:textId="77777777" w:rsidR="000200BC" w:rsidRDefault="000200BC" w:rsidP="00B122D1">
                  <w:pPr>
                    <w:spacing w:before="100" w:beforeAutospacing="1" w:line="276" w:lineRule="auto"/>
                    <w:rPr>
                      <w:rFonts w:eastAsiaTheme="minorEastAsia"/>
                      <w:lang w:eastAsia="en-GB"/>
                    </w:rPr>
                  </w:pPr>
                </w:p>
              </w:tc>
            </w:tr>
            <w:tr w:rsidR="00FF3A2D" w:rsidRPr="00E7339A" w14:paraId="62296F81" w14:textId="77777777" w:rsidTr="00001CE0">
              <w:tc>
                <w:tcPr>
                  <w:tcW w:w="907" w:type="dxa"/>
                </w:tcPr>
                <w:p w14:paraId="10BDFB12" w14:textId="648FD872" w:rsidR="00FF3A2D" w:rsidRDefault="00F57BC8" w:rsidP="00B122D1">
                  <w:pPr>
                    <w:spacing w:before="100" w:beforeAutospacing="1" w:line="276" w:lineRule="auto"/>
                    <w:rPr>
                      <w:rFonts w:eastAsiaTheme="minorEastAsia"/>
                      <w:lang w:eastAsia="en-GB"/>
                    </w:rPr>
                  </w:pPr>
                  <w:r>
                    <w:rPr>
                      <w:rFonts w:eastAsiaTheme="minorEastAsia"/>
                      <w:lang w:eastAsia="en-GB"/>
                    </w:rPr>
                    <w:t>4</w:t>
                  </w:r>
                  <w:r w:rsidR="00FF3A2D">
                    <w:rPr>
                      <w:rFonts w:eastAsiaTheme="minorEastAsia"/>
                      <w:lang w:eastAsia="en-GB"/>
                    </w:rPr>
                    <w:t>.1</w:t>
                  </w:r>
                  <w:r w:rsidR="0041208F">
                    <w:rPr>
                      <w:rFonts w:eastAsiaTheme="minorEastAsia"/>
                      <w:lang w:eastAsia="en-GB"/>
                    </w:rPr>
                    <w:t>2</w:t>
                  </w:r>
                </w:p>
              </w:tc>
              <w:tc>
                <w:tcPr>
                  <w:tcW w:w="7268" w:type="dxa"/>
                </w:tcPr>
                <w:p w14:paraId="6355A51F" w14:textId="594E5E4B" w:rsidR="00FF3A2D" w:rsidRDefault="00FF3A2D" w:rsidP="00F16A5A">
                  <w:r w:rsidRPr="00B13D93">
                    <w:rPr>
                      <w:b/>
                      <w:bCs/>
                    </w:rPr>
                    <w:t xml:space="preserve">Section 5: </w:t>
                  </w:r>
                  <w:r w:rsidR="004159C0">
                    <w:rPr>
                      <w:b/>
                      <w:bCs/>
                    </w:rPr>
                    <w:t>O</w:t>
                  </w:r>
                  <w:r w:rsidRPr="00B13D93">
                    <w:rPr>
                      <w:b/>
                      <w:bCs/>
                    </w:rPr>
                    <w:t xml:space="preserve">ther </w:t>
                  </w:r>
                  <w:r w:rsidR="004159C0">
                    <w:rPr>
                      <w:b/>
                      <w:bCs/>
                    </w:rPr>
                    <w:t>O</w:t>
                  </w:r>
                  <w:r w:rsidRPr="00B13D93">
                    <w:rPr>
                      <w:b/>
                      <w:bCs/>
                    </w:rPr>
                    <w:t xml:space="preserve">bservations made including </w:t>
                  </w:r>
                  <w:r w:rsidR="004159C0">
                    <w:rPr>
                      <w:b/>
                      <w:bCs/>
                    </w:rPr>
                    <w:t>E</w:t>
                  </w:r>
                  <w:r w:rsidRPr="00B13D93">
                    <w:rPr>
                      <w:b/>
                      <w:bCs/>
                    </w:rPr>
                    <w:t xml:space="preserve">ducation and </w:t>
                  </w:r>
                  <w:r w:rsidR="004159C0">
                    <w:rPr>
                      <w:b/>
                      <w:bCs/>
                    </w:rPr>
                    <w:t>I</w:t>
                  </w:r>
                  <w:r w:rsidRPr="00B13D93">
                    <w:rPr>
                      <w:b/>
                      <w:bCs/>
                    </w:rPr>
                    <w:t>llustrations</w:t>
                  </w:r>
                </w:p>
              </w:tc>
              <w:tc>
                <w:tcPr>
                  <w:tcW w:w="839" w:type="dxa"/>
                  <w:vAlign w:val="bottom"/>
                </w:tcPr>
                <w:p w14:paraId="67AC9051" w14:textId="77777777" w:rsidR="00FF3A2D" w:rsidRDefault="00FF3A2D" w:rsidP="00B122D1">
                  <w:pPr>
                    <w:spacing w:before="100" w:beforeAutospacing="1" w:line="276" w:lineRule="auto"/>
                    <w:rPr>
                      <w:rFonts w:eastAsiaTheme="minorEastAsia"/>
                      <w:lang w:eastAsia="en-GB"/>
                    </w:rPr>
                  </w:pPr>
                </w:p>
              </w:tc>
            </w:tr>
            <w:tr w:rsidR="00FF3A2D" w:rsidRPr="00E7339A" w14:paraId="2B2731D8" w14:textId="77777777" w:rsidTr="00001CE0">
              <w:tc>
                <w:tcPr>
                  <w:tcW w:w="907" w:type="dxa"/>
                </w:tcPr>
                <w:p w14:paraId="61C336D8" w14:textId="36B37075" w:rsidR="00FF3A2D" w:rsidRDefault="00F57BC8" w:rsidP="00B122D1">
                  <w:pPr>
                    <w:spacing w:before="100" w:beforeAutospacing="1" w:line="276" w:lineRule="auto"/>
                    <w:rPr>
                      <w:rFonts w:eastAsiaTheme="minorEastAsia"/>
                      <w:lang w:eastAsia="en-GB"/>
                    </w:rPr>
                  </w:pPr>
                  <w:r>
                    <w:rPr>
                      <w:rFonts w:eastAsiaTheme="minorEastAsia"/>
                      <w:lang w:eastAsia="en-GB"/>
                    </w:rPr>
                    <w:t>4</w:t>
                  </w:r>
                  <w:r w:rsidR="004159C0">
                    <w:rPr>
                      <w:rFonts w:eastAsiaTheme="minorEastAsia"/>
                      <w:lang w:eastAsia="en-GB"/>
                    </w:rPr>
                    <w:t>.1</w:t>
                  </w:r>
                  <w:r w:rsidR="0041208F">
                    <w:rPr>
                      <w:rFonts w:eastAsiaTheme="minorEastAsia"/>
                      <w:lang w:eastAsia="en-GB"/>
                    </w:rPr>
                    <w:t>3</w:t>
                  </w:r>
                </w:p>
              </w:tc>
              <w:tc>
                <w:tcPr>
                  <w:tcW w:w="7268" w:type="dxa"/>
                </w:tcPr>
                <w:p w14:paraId="5801C842" w14:textId="2027F9E1" w:rsidR="004159C0" w:rsidRDefault="004159C0" w:rsidP="001726C7">
                  <w:r>
                    <w:t xml:space="preserve">Section 5 of Paper 3 seeks views on whether: </w:t>
                  </w:r>
                </w:p>
                <w:p w14:paraId="6DE0D306" w14:textId="58F26D9B" w:rsidR="004159C0" w:rsidRDefault="004159C0" w:rsidP="001726C7">
                  <w:pPr>
                    <w:pStyle w:val="ListParagraph"/>
                    <w:numPr>
                      <w:ilvl w:val="0"/>
                      <w:numId w:val="27"/>
                    </w:numPr>
                    <w:ind w:left="465" w:hanging="426"/>
                  </w:pPr>
                  <w:r>
                    <w:t>additional information on reserves reporting is helpful, though it should be noted that any additional guidance should be consistent with the FRC’s Policy on the Development of SORPs</w:t>
                  </w:r>
                </w:p>
                <w:p w14:paraId="5753C5AB" w14:textId="44D5B0C6" w:rsidR="004159C0" w:rsidRDefault="004159C0" w:rsidP="001726C7">
                  <w:pPr>
                    <w:pStyle w:val="ListParagraph"/>
                    <w:numPr>
                      <w:ilvl w:val="0"/>
                      <w:numId w:val="27"/>
                    </w:numPr>
                    <w:ind w:left="465" w:hanging="426"/>
                  </w:pPr>
                  <w:r>
                    <w:t xml:space="preserve">valuable tools on reporting reserves are in existence and should be considered for signposting or the inclusion of help sheets. </w:t>
                  </w:r>
                </w:p>
                <w:p w14:paraId="43D3051E" w14:textId="0C2581ED" w:rsidR="004159C0" w:rsidRDefault="004159C0" w:rsidP="004159C0">
                  <w:r>
                    <w:t>It was agreed that the</w:t>
                  </w:r>
                  <w:r w:rsidR="00E4532E">
                    <w:t>re</w:t>
                  </w:r>
                  <w:r>
                    <w:t xml:space="preserve"> should </w:t>
                  </w:r>
                  <w:r w:rsidR="00E4532E">
                    <w:t xml:space="preserve">be further </w:t>
                  </w:r>
                  <w:r>
                    <w:t>consider</w:t>
                  </w:r>
                  <w:r w:rsidR="00E4532E">
                    <w:t>ation</w:t>
                  </w:r>
                  <w:r>
                    <w:t xml:space="preserve"> signposting other existing resources and guidance on reserves, but care needs to be taken not to ‘shoehorn’ everything into the SORP. Help</w:t>
                  </w:r>
                  <w:r w:rsidR="00DB390B">
                    <w:t xml:space="preserve"> </w:t>
                  </w:r>
                  <w:r>
                    <w:t>sheets sit outside the SORP, the SORP cannot cover all situations and all circumstances and is not always the best place for detailed exemplification.</w:t>
                  </w:r>
                </w:p>
                <w:p w14:paraId="47B5828D" w14:textId="6014DB78" w:rsidR="004159C0" w:rsidRDefault="004159C0" w:rsidP="004159C0">
                  <w:r>
                    <w:lastRenderedPageBreak/>
                    <w:t>The Committee made the following comments:</w:t>
                  </w:r>
                </w:p>
                <w:p w14:paraId="195E3297" w14:textId="09BD1BA5" w:rsidR="004159C0" w:rsidRDefault="004159C0" w:rsidP="004159C0">
                  <w:pPr>
                    <w:pStyle w:val="ListParagraph"/>
                    <w:numPr>
                      <w:ilvl w:val="0"/>
                      <w:numId w:val="30"/>
                    </w:numPr>
                  </w:pPr>
                  <w:r>
                    <w:t xml:space="preserve">the SORP already signposts other sources this can be used provided that the signposting and other resources </w:t>
                  </w:r>
                  <w:r w:rsidR="0019681B">
                    <w:t xml:space="preserve">are </w:t>
                  </w:r>
                  <w:r>
                    <w:t xml:space="preserve">consistent with FRC </w:t>
                  </w:r>
                  <w:r w:rsidR="00DB390B">
                    <w:t>P</w:t>
                  </w:r>
                  <w:r>
                    <w:t xml:space="preserve">olicy on the </w:t>
                  </w:r>
                  <w:r w:rsidR="00DB390B">
                    <w:t>D</w:t>
                  </w:r>
                  <w:r>
                    <w:t>evelopment of SORPs,</w:t>
                  </w:r>
                </w:p>
                <w:p w14:paraId="4DC79CC0" w14:textId="0FDA864A" w:rsidR="004159C0" w:rsidRDefault="004159C0" w:rsidP="004159C0">
                  <w:pPr>
                    <w:pStyle w:val="ListParagraph"/>
                    <w:numPr>
                      <w:ilvl w:val="0"/>
                      <w:numId w:val="30"/>
                    </w:numPr>
                  </w:pPr>
                  <w:r>
                    <w:t>it supported the use of flow charts in this area</w:t>
                  </w:r>
                </w:p>
                <w:p w14:paraId="7DD5600A" w14:textId="22044440" w:rsidR="004159C0" w:rsidRDefault="004159C0" w:rsidP="004159C0">
                  <w:pPr>
                    <w:pStyle w:val="ListParagraph"/>
                    <w:numPr>
                      <w:ilvl w:val="0"/>
                      <w:numId w:val="30"/>
                    </w:numPr>
                  </w:pPr>
                  <w:r>
                    <w:t>it was of the view that examples should not be included in the SORP, but other forms of guidance would be more relevant/useful.</w:t>
                  </w:r>
                </w:p>
                <w:p w14:paraId="543F14D9" w14:textId="4CC43DAC" w:rsidR="004159C0" w:rsidRDefault="004159C0" w:rsidP="004159C0">
                  <w:r>
                    <w:t>The Committee expressed concern about some of the comments from the discussion by the</w:t>
                  </w:r>
                  <w:r w:rsidR="00DB390B">
                    <w:t xml:space="preserve"> engagement</w:t>
                  </w:r>
                  <w:r>
                    <w:t xml:space="preserve"> strands. It is important that it is understood that reserves are not about winding up</w:t>
                  </w:r>
                  <w:r w:rsidR="001A2DDB">
                    <w:t xml:space="preserve"> a charity but</w:t>
                  </w:r>
                  <w:r>
                    <w:t xml:space="preserve"> about how the charity operates</w:t>
                  </w:r>
                  <w:r w:rsidR="001A2DDB">
                    <w:t xml:space="preserve"> and manages its resources from a</w:t>
                  </w:r>
                  <w:r>
                    <w:t xml:space="preserve"> </w:t>
                  </w:r>
                  <w:r w:rsidR="001A2DDB">
                    <w:t>risk-based approach</w:t>
                  </w:r>
                  <w:r>
                    <w:t xml:space="preserve">. </w:t>
                  </w:r>
                </w:p>
                <w:p w14:paraId="191BDD34" w14:textId="70AB03D5" w:rsidR="00FF3A2D" w:rsidRDefault="001A2DDB" w:rsidP="00F16A5A">
                  <w:r>
                    <w:t>Reserve information</w:t>
                  </w:r>
                  <w:r w:rsidR="004159C0">
                    <w:t xml:space="preserve"> is about the charity </w:t>
                  </w:r>
                  <w:r>
                    <w:t>operating on a</w:t>
                  </w:r>
                  <w:r w:rsidR="004159C0">
                    <w:t xml:space="preserve"> going concern</w:t>
                  </w:r>
                  <w:r>
                    <w:t xml:space="preserve"> basis and reporting. This should not</w:t>
                  </w:r>
                  <w:r w:rsidR="004159C0">
                    <w:t xml:space="preserve"> be converted into a figure that relates to </w:t>
                  </w:r>
                  <w:r>
                    <w:t>the winding up of a charity</w:t>
                  </w:r>
                  <w:r w:rsidR="004159C0">
                    <w:t xml:space="preserve">. There are </w:t>
                  </w:r>
                  <w:r>
                    <w:t>separate reporting requirements for such circumstances</w:t>
                  </w:r>
                  <w:r w:rsidR="004159C0">
                    <w:t>, for example</w:t>
                  </w:r>
                  <w:r>
                    <w:t>,</w:t>
                  </w:r>
                  <w:r w:rsidR="004159C0">
                    <w:t xml:space="preserve"> the </w:t>
                  </w:r>
                  <w:r>
                    <w:t>measurement</w:t>
                  </w:r>
                  <w:r w:rsidR="004159C0">
                    <w:t xml:space="preserve"> of a </w:t>
                  </w:r>
                  <w:r>
                    <w:t>property held by a charity</w:t>
                  </w:r>
                  <w:r w:rsidR="004159C0">
                    <w:t xml:space="preserve"> will not be </w:t>
                  </w:r>
                  <w:r>
                    <w:t>included in</w:t>
                  </w:r>
                  <w:r w:rsidR="004159C0">
                    <w:t xml:space="preserve"> free reserves</w:t>
                  </w:r>
                  <w:r>
                    <w:t>. Yet in circumstances where a charity was being wound up this would be included in any estimation process of the resources available. It was agreed that the reporting basis (</w:t>
                  </w:r>
                  <w:proofErr w:type="spellStart"/>
                  <w:proofErr w:type="gramStart"/>
                  <w:r>
                    <w:t>ie</w:t>
                  </w:r>
                  <w:proofErr w:type="spellEnd"/>
                  <w:proofErr w:type="gramEnd"/>
                  <w:r>
                    <w:t xml:space="preserve"> a going concern basis of </w:t>
                  </w:r>
                  <w:r w:rsidR="00FB4323">
                    <w:t>reporting) was</w:t>
                  </w:r>
                  <w:r>
                    <w:t xml:space="preserve"> a clear distinction for the reporting of reserves and was key to its understanding. </w:t>
                  </w:r>
                </w:p>
              </w:tc>
              <w:tc>
                <w:tcPr>
                  <w:tcW w:w="839" w:type="dxa"/>
                  <w:vAlign w:val="bottom"/>
                </w:tcPr>
                <w:p w14:paraId="5D01DA79" w14:textId="77777777" w:rsidR="00FF3A2D" w:rsidRDefault="00FF3A2D" w:rsidP="00B122D1">
                  <w:pPr>
                    <w:spacing w:before="100" w:beforeAutospacing="1" w:line="276" w:lineRule="auto"/>
                    <w:rPr>
                      <w:rFonts w:eastAsiaTheme="minorEastAsia"/>
                      <w:lang w:eastAsia="en-GB"/>
                    </w:rPr>
                  </w:pPr>
                </w:p>
              </w:tc>
            </w:tr>
            <w:tr w:rsidR="00FB4323" w:rsidRPr="00E7339A" w14:paraId="29FC7C82" w14:textId="77777777" w:rsidTr="00001CE0">
              <w:tc>
                <w:tcPr>
                  <w:tcW w:w="907" w:type="dxa"/>
                </w:tcPr>
                <w:p w14:paraId="0BBE08E4" w14:textId="3F1C410C" w:rsidR="00FB4323" w:rsidRPr="00F57BC8" w:rsidRDefault="00F57BC8" w:rsidP="00B122D1">
                  <w:pPr>
                    <w:spacing w:before="100" w:beforeAutospacing="1" w:line="276" w:lineRule="auto"/>
                    <w:rPr>
                      <w:rFonts w:eastAsiaTheme="minorEastAsia"/>
                      <w:b/>
                      <w:bCs/>
                      <w:lang w:eastAsia="en-GB"/>
                    </w:rPr>
                  </w:pPr>
                  <w:r w:rsidRPr="00F57BC8">
                    <w:rPr>
                      <w:rFonts w:eastAsiaTheme="minorEastAsia"/>
                      <w:b/>
                      <w:bCs/>
                      <w:lang w:eastAsia="en-GB"/>
                    </w:rPr>
                    <w:t>5</w:t>
                  </w:r>
                  <w:r w:rsidR="00FB4323" w:rsidRPr="00F57BC8">
                    <w:rPr>
                      <w:rFonts w:eastAsiaTheme="minorEastAsia"/>
                      <w:b/>
                      <w:bCs/>
                      <w:lang w:eastAsia="en-GB"/>
                    </w:rPr>
                    <w:t>.0</w:t>
                  </w:r>
                </w:p>
              </w:tc>
              <w:tc>
                <w:tcPr>
                  <w:tcW w:w="7268" w:type="dxa"/>
                </w:tcPr>
                <w:p w14:paraId="1467C8C8" w14:textId="15F6109B" w:rsidR="00FB4323" w:rsidRDefault="00E4532E" w:rsidP="00E4532E">
                  <w:r>
                    <w:rPr>
                      <w:b/>
                      <w:bCs/>
                    </w:rPr>
                    <w:t xml:space="preserve">Paper 3: </w:t>
                  </w:r>
                  <w:r w:rsidR="00FB4323" w:rsidRPr="00001CE0">
                    <w:rPr>
                      <w:b/>
                      <w:bCs/>
                    </w:rPr>
                    <w:t>Setting a future approach to Summary Financial Information</w:t>
                  </w:r>
                  <w:r w:rsidR="00FB4323">
                    <w:rPr>
                      <w:b/>
                      <w:bCs/>
                    </w:rPr>
                    <w:t>/a Key Facts Page</w:t>
                  </w:r>
                  <w:r w:rsidR="00FB4323" w:rsidRPr="00001CE0">
                    <w:rPr>
                      <w:b/>
                      <w:bCs/>
                    </w:rPr>
                    <w:t xml:space="preserve"> </w:t>
                  </w:r>
                </w:p>
              </w:tc>
              <w:tc>
                <w:tcPr>
                  <w:tcW w:w="839" w:type="dxa"/>
                  <w:vAlign w:val="bottom"/>
                </w:tcPr>
                <w:p w14:paraId="6C8E4BBD" w14:textId="77777777" w:rsidR="00FB4323" w:rsidRDefault="00FB4323" w:rsidP="00B122D1">
                  <w:pPr>
                    <w:spacing w:before="100" w:beforeAutospacing="1" w:line="276" w:lineRule="auto"/>
                    <w:rPr>
                      <w:rFonts w:eastAsiaTheme="minorEastAsia"/>
                      <w:lang w:eastAsia="en-GB"/>
                    </w:rPr>
                  </w:pPr>
                </w:p>
              </w:tc>
            </w:tr>
            <w:tr w:rsidR="00FB4323" w:rsidRPr="00E7339A" w14:paraId="75E154E8" w14:textId="77777777" w:rsidTr="00001CE0">
              <w:tc>
                <w:tcPr>
                  <w:tcW w:w="907" w:type="dxa"/>
                </w:tcPr>
                <w:p w14:paraId="0DE02B5E" w14:textId="045F0B65" w:rsidR="00FB4323" w:rsidRDefault="00F57BC8" w:rsidP="00B122D1">
                  <w:pPr>
                    <w:spacing w:before="100" w:beforeAutospacing="1" w:line="276" w:lineRule="auto"/>
                    <w:rPr>
                      <w:rFonts w:eastAsiaTheme="minorEastAsia"/>
                      <w:lang w:eastAsia="en-GB"/>
                    </w:rPr>
                  </w:pPr>
                  <w:r>
                    <w:rPr>
                      <w:rFonts w:eastAsiaTheme="minorEastAsia"/>
                      <w:lang w:eastAsia="en-GB"/>
                    </w:rPr>
                    <w:t>5</w:t>
                  </w:r>
                  <w:r w:rsidR="00FB4323">
                    <w:rPr>
                      <w:rFonts w:eastAsiaTheme="minorEastAsia"/>
                      <w:lang w:eastAsia="en-GB"/>
                    </w:rPr>
                    <w:t>.1</w:t>
                  </w:r>
                </w:p>
              </w:tc>
              <w:tc>
                <w:tcPr>
                  <w:tcW w:w="7268" w:type="dxa"/>
                </w:tcPr>
                <w:p w14:paraId="1F55EAFF" w14:textId="65092386" w:rsidR="00FB4323" w:rsidRDefault="00FB4323" w:rsidP="00FB4323">
                  <w:r>
                    <w:t xml:space="preserve">CIPFA summarised the key issue for the inclusion of </w:t>
                  </w:r>
                  <w:r w:rsidR="00DB390B">
                    <w:t>S</w:t>
                  </w:r>
                  <w:r>
                    <w:t xml:space="preserve">ummary </w:t>
                  </w:r>
                  <w:r w:rsidR="00DB390B">
                    <w:t>F</w:t>
                  </w:r>
                  <w:r>
                    <w:t xml:space="preserve">inancial </w:t>
                  </w:r>
                  <w:r w:rsidR="00DB390B">
                    <w:t>I</w:t>
                  </w:r>
                  <w:r>
                    <w:t xml:space="preserve">nformation/a </w:t>
                  </w:r>
                  <w:r w:rsidR="00DB390B">
                    <w:t>K</w:t>
                  </w:r>
                  <w:r>
                    <w:t xml:space="preserve">ey </w:t>
                  </w:r>
                  <w:r w:rsidR="00DB390B">
                    <w:t>F</w:t>
                  </w:r>
                  <w:r>
                    <w:t xml:space="preserve">acts </w:t>
                  </w:r>
                  <w:r w:rsidR="00DB390B">
                    <w:t>P</w:t>
                  </w:r>
                  <w:r>
                    <w:t>age and noted that what must be considered was a case for change. Currently</w:t>
                  </w:r>
                  <w:r w:rsidR="0019681B">
                    <w:t>,</w:t>
                  </w:r>
                  <w:r>
                    <w:t xml:space="preserve"> neither of these are mandated in the SORP</w:t>
                  </w:r>
                  <w:r w:rsidR="00B1760B">
                    <w:t xml:space="preserve"> as was set out in the summary report and the briefing</w:t>
                  </w:r>
                  <w:r w:rsidR="00DB390B">
                    <w:t>.</w:t>
                  </w:r>
                </w:p>
                <w:p w14:paraId="2C03F7C1" w14:textId="6BA8DD89" w:rsidR="00FB4323" w:rsidRDefault="00FB4323" w:rsidP="00FB4323">
                  <w:r>
                    <w:t>The overall conclusion for the</w:t>
                  </w:r>
                  <w:r w:rsidR="00DB390B">
                    <w:t xml:space="preserve"> engagement</w:t>
                  </w:r>
                  <w:r>
                    <w:t xml:space="preserve"> strands was that there </w:t>
                  </w:r>
                  <w:r w:rsidR="00B1760B">
                    <w:t xml:space="preserve">was no consensus for </w:t>
                  </w:r>
                  <w:r w:rsidR="0019681B">
                    <w:t xml:space="preserve">the </w:t>
                  </w:r>
                  <w:r w:rsidR="00B1760B">
                    <w:t xml:space="preserve">Summary Financial Information/Key Facts page. </w:t>
                  </w:r>
                </w:p>
                <w:p w14:paraId="2F447D6F" w14:textId="5F7985FB" w:rsidR="00FB4323" w:rsidRDefault="00B1760B" w:rsidP="00FB4323">
                  <w:r>
                    <w:t>There were a variety of options considered by the engagement strands including whether this should be mandated or not.</w:t>
                  </w:r>
                </w:p>
                <w:p w14:paraId="718CC863" w14:textId="2B677F7A" w:rsidR="00FB4323" w:rsidRDefault="00FB4323" w:rsidP="00FB4323">
                  <w:r>
                    <w:t xml:space="preserve">The </w:t>
                  </w:r>
                  <w:r w:rsidR="00B1760B">
                    <w:t xml:space="preserve">advantages </w:t>
                  </w:r>
                  <w:r>
                    <w:t xml:space="preserve">are that it is simple, it allows for information to be in one place, </w:t>
                  </w:r>
                  <w:r w:rsidR="00B1760B">
                    <w:t xml:space="preserve">and </w:t>
                  </w:r>
                  <w:r>
                    <w:t>allows for comparability and benchmarking.</w:t>
                  </w:r>
                </w:p>
                <w:p w14:paraId="436A4CB0" w14:textId="77777777" w:rsidR="00B1760B" w:rsidRDefault="00FB4323" w:rsidP="00FB4323">
                  <w:r>
                    <w:t xml:space="preserve">Audited information is a key consideration </w:t>
                  </w:r>
                  <w:r w:rsidR="00B1760B">
                    <w:t xml:space="preserve">for a number of the engagement strands </w:t>
                  </w:r>
                  <w:proofErr w:type="spellStart"/>
                  <w:proofErr w:type="gramStart"/>
                  <w:r w:rsidR="00B1760B">
                    <w:t>ie</w:t>
                  </w:r>
                  <w:proofErr w:type="spellEnd"/>
                  <w:proofErr w:type="gramEnd"/>
                  <w:r w:rsidR="00B1760B">
                    <w:t xml:space="preserve"> whether it would be subject to audit or not.</w:t>
                  </w:r>
                </w:p>
                <w:p w14:paraId="40F07F97" w14:textId="64FF2E24" w:rsidR="00FB4323" w:rsidRDefault="00B1760B" w:rsidP="00FB4323">
                  <w:r>
                    <w:t xml:space="preserve">Comments were put forward on the practical issues which would need to be faced </w:t>
                  </w:r>
                  <w:proofErr w:type="spellStart"/>
                  <w:proofErr w:type="gramStart"/>
                  <w:r>
                    <w:t>ie</w:t>
                  </w:r>
                  <w:proofErr w:type="spellEnd"/>
                  <w:proofErr w:type="gramEnd"/>
                  <w:r>
                    <w:t xml:space="preserve"> how would it work given the</w:t>
                  </w:r>
                  <w:r w:rsidR="00FB4323">
                    <w:t xml:space="preserve"> diverse nature of charities? </w:t>
                  </w:r>
                  <w:r>
                    <w:t>W</w:t>
                  </w:r>
                  <w:r w:rsidR="00FB4323">
                    <w:t>ould it be a sales pitch?</w:t>
                  </w:r>
                  <w:r>
                    <w:t xml:space="preserve"> How would proportionality and impact reporting be accommodated</w:t>
                  </w:r>
                  <w:r w:rsidR="00EF5152">
                    <w:t xml:space="preserve">? </w:t>
                  </w:r>
                  <w:r>
                    <w:t>Again, on the positive side</w:t>
                  </w:r>
                  <w:r w:rsidR="00EF5152">
                    <w:t>,</w:t>
                  </w:r>
                  <w:r>
                    <w:t xml:space="preserve"> there were commentaries that this information should be able to be produced easily as </w:t>
                  </w:r>
                  <w:r w:rsidR="00FB4323">
                    <w:t>the information</w:t>
                  </w:r>
                  <w:r>
                    <w:t xml:space="preserve"> is</w:t>
                  </w:r>
                  <w:r w:rsidR="00FB4323">
                    <w:t xml:space="preserve"> already in the accounts and so this just focuses attention</w:t>
                  </w:r>
                  <w:r>
                    <w:t xml:space="preserve"> on the main issues.</w:t>
                  </w:r>
                </w:p>
                <w:p w14:paraId="6BEC7D01" w14:textId="529000C8" w:rsidR="00FB4323" w:rsidRDefault="00B1760B" w:rsidP="00FB4323">
                  <w:r>
                    <w:t>As with the discussions by the Committee on Paper 2 o</w:t>
                  </w:r>
                  <w:r w:rsidR="00FB4323">
                    <w:t>ne or two of the strands have focused on whether</w:t>
                  </w:r>
                  <w:r>
                    <w:t xml:space="preserve"> the topic was answering the right question. </w:t>
                  </w:r>
                  <w:r w:rsidR="00A52026">
                    <w:t>Possibly, t</w:t>
                  </w:r>
                  <w:r w:rsidR="00FB4323">
                    <w:t xml:space="preserve">he existing </w:t>
                  </w:r>
                  <w:r>
                    <w:t>financial review</w:t>
                  </w:r>
                  <w:r w:rsidR="00FB4323">
                    <w:t xml:space="preserve"> is not clear enough, so </w:t>
                  </w:r>
                  <w:r w:rsidR="00E154BC">
                    <w:t xml:space="preserve">instead </w:t>
                  </w:r>
                  <w:r w:rsidR="00A52026">
                    <w:t xml:space="preserve">is </w:t>
                  </w:r>
                  <w:r>
                    <w:t>a</w:t>
                  </w:r>
                  <w:r w:rsidR="00E154BC">
                    <w:t xml:space="preserve">dditional guidance required to highlight the information </w:t>
                  </w:r>
                  <w:r w:rsidR="00A52026">
                    <w:t>to be reported.</w:t>
                  </w:r>
                  <w:r w:rsidR="00FB4323">
                    <w:t xml:space="preserve"> </w:t>
                  </w:r>
                  <w:r w:rsidR="00E154BC">
                    <w:t>Other arguments included the addition of another report as well as both the trustees</w:t>
                  </w:r>
                  <w:r w:rsidR="00A52026">
                    <w:t>’ annual</w:t>
                  </w:r>
                  <w:r w:rsidR="00E154BC">
                    <w:t xml:space="preserve"> </w:t>
                  </w:r>
                  <w:r w:rsidR="00E154BC">
                    <w:lastRenderedPageBreak/>
                    <w:t>report</w:t>
                  </w:r>
                  <w:r w:rsidR="00A52026">
                    <w:t xml:space="preserve"> and accounts</w:t>
                  </w:r>
                  <w:r w:rsidR="00E154BC">
                    <w:t xml:space="preserve"> is an additional reporting burden but will also increase the dislocation between the </w:t>
                  </w:r>
                  <w:r w:rsidR="00A52026">
                    <w:t>current two reports</w:t>
                  </w:r>
                  <w:r w:rsidR="00FB4323">
                    <w:t>.</w:t>
                  </w:r>
                </w:p>
              </w:tc>
              <w:tc>
                <w:tcPr>
                  <w:tcW w:w="839" w:type="dxa"/>
                  <w:vAlign w:val="bottom"/>
                </w:tcPr>
                <w:p w14:paraId="6A84709E" w14:textId="77777777" w:rsidR="00FB4323" w:rsidRDefault="00FB4323" w:rsidP="00B122D1">
                  <w:pPr>
                    <w:spacing w:before="100" w:beforeAutospacing="1" w:line="276" w:lineRule="auto"/>
                    <w:rPr>
                      <w:rFonts w:eastAsiaTheme="minorEastAsia"/>
                      <w:lang w:eastAsia="en-GB"/>
                    </w:rPr>
                  </w:pPr>
                </w:p>
              </w:tc>
            </w:tr>
            <w:tr w:rsidR="00E154BC" w:rsidRPr="00E7339A" w14:paraId="0ED91EA6" w14:textId="77777777" w:rsidTr="00001CE0">
              <w:tc>
                <w:tcPr>
                  <w:tcW w:w="907" w:type="dxa"/>
                </w:tcPr>
                <w:p w14:paraId="07059191" w14:textId="61BBC66F" w:rsidR="00E154BC" w:rsidRDefault="00F57BC8" w:rsidP="00B122D1">
                  <w:pPr>
                    <w:spacing w:before="100" w:beforeAutospacing="1" w:line="276" w:lineRule="auto"/>
                    <w:rPr>
                      <w:rFonts w:eastAsiaTheme="minorEastAsia"/>
                      <w:lang w:eastAsia="en-GB"/>
                    </w:rPr>
                  </w:pPr>
                  <w:r>
                    <w:rPr>
                      <w:rFonts w:eastAsiaTheme="minorEastAsia"/>
                      <w:lang w:eastAsia="en-GB"/>
                    </w:rPr>
                    <w:t>5</w:t>
                  </w:r>
                  <w:r w:rsidR="00E154BC">
                    <w:rPr>
                      <w:rFonts w:eastAsiaTheme="minorEastAsia"/>
                      <w:lang w:eastAsia="en-GB"/>
                    </w:rPr>
                    <w:t>.2</w:t>
                  </w:r>
                </w:p>
              </w:tc>
              <w:tc>
                <w:tcPr>
                  <w:tcW w:w="7268" w:type="dxa"/>
                </w:tcPr>
                <w:p w14:paraId="3A797EF3" w14:textId="797AD5CA" w:rsidR="00E154BC" w:rsidRDefault="00E154BC" w:rsidP="00E154BC">
                  <w:r>
                    <w:t xml:space="preserve">A committee member noted that Key Facts is not likely to be the same thing as summary financial information. Key facts are those items that may help readers make sense of the accounts. For example, the True and Fair Foundation </w:t>
                  </w:r>
                  <w:r w:rsidR="00EF5152">
                    <w:t xml:space="preserve">was </w:t>
                  </w:r>
                  <w:r>
                    <w:t xml:space="preserve">criticised as many conclusions demonstrated a lack of understanding of the business model of the organisation they were assessing. </w:t>
                  </w:r>
                </w:p>
                <w:p w14:paraId="610613EB" w14:textId="2FDFF945" w:rsidR="00E154BC" w:rsidRDefault="00E154BC" w:rsidP="00E154BC">
                  <w:r>
                    <w:t>The Committee consider</w:t>
                  </w:r>
                  <w:r w:rsidR="00A52026">
                    <w:t>ed</w:t>
                  </w:r>
                  <w:r>
                    <w:t xml:space="preserve"> whether it would be more useful signposting, quick links to help audiences understand the financial challenges faced by the charity The key facts about an organisation can help readers have a basic understanding about a charity. </w:t>
                  </w:r>
                </w:p>
                <w:p w14:paraId="62081667" w14:textId="161E6029" w:rsidR="00E154BC" w:rsidRDefault="00E154BC" w:rsidP="00E154BC">
                  <w:r>
                    <w:t xml:space="preserve">The Committee </w:t>
                  </w:r>
                  <w:r w:rsidR="00A52026">
                    <w:t>also debated</w:t>
                  </w:r>
                  <w:r>
                    <w:t xml:space="preserve"> why this topic has been raised as an issue by the engagement strands what was being </w:t>
                  </w:r>
                  <w:r w:rsidR="00CC4B5F">
                    <w:t>considered.</w:t>
                  </w:r>
                  <w:r>
                    <w:t xml:space="preserve"> </w:t>
                  </w:r>
                </w:p>
                <w:p w14:paraId="051A7A80" w14:textId="1BE7C3EE" w:rsidR="00E154BC" w:rsidRDefault="00E154BC" w:rsidP="00E154BC">
                  <w:r>
                    <w:t xml:space="preserve">This </w:t>
                  </w:r>
                  <w:r w:rsidR="00A52026">
                    <w:t>topic</w:t>
                  </w:r>
                  <w:r>
                    <w:t xml:space="preserve"> </w:t>
                  </w:r>
                  <w:r w:rsidR="00A52026">
                    <w:t>was raised when</w:t>
                  </w:r>
                  <w:r>
                    <w:t xml:space="preserve"> the </w:t>
                  </w:r>
                  <w:r w:rsidR="00CC4B5F">
                    <w:t xml:space="preserve">Summary Information Returns </w:t>
                  </w:r>
                  <w:r>
                    <w:t>SIR</w:t>
                  </w:r>
                  <w:r w:rsidR="00CC4B5F">
                    <w:t>s</w:t>
                  </w:r>
                  <w:r>
                    <w:t xml:space="preserve"> </w:t>
                  </w:r>
                  <w:r w:rsidR="00A52026">
                    <w:t xml:space="preserve">were </w:t>
                  </w:r>
                  <w:r>
                    <w:t>proposed for</w:t>
                  </w:r>
                  <w:r w:rsidR="00CC4B5F">
                    <w:t xml:space="preserve"> 2005</w:t>
                  </w:r>
                  <w:r>
                    <w:t xml:space="preserve"> SORP. Similar issues were considered</w:t>
                  </w:r>
                  <w:r w:rsidR="00CC4B5F">
                    <w:t>. There were proposals that the</w:t>
                  </w:r>
                  <w:r>
                    <w:t xml:space="preserve"> SIR</w:t>
                  </w:r>
                  <w:r w:rsidR="00CC4B5F">
                    <w:t>s</w:t>
                  </w:r>
                  <w:r>
                    <w:t xml:space="preserve"> w</w:t>
                  </w:r>
                  <w:r w:rsidR="00CC4B5F">
                    <w:t xml:space="preserve">ere to become a part of the trustees’ annual report. The Committee noted that the </w:t>
                  </w:r>
                  <w:r w:rsidR="00B3100F">
                    <w:t xml:space="preserve">SIRs </w:t>
                  </w:r>
                  <w:r w:rsidR="00CC4B5F">
                    <w:t>were abandoned following feedback that charities</w:t>
                  </w:r>
                  <w:r>
                    <w:t xml:space="preserve"> </w:t>
                  </w:r>
                  <w:r w:rsidR="00CC4B5F">
                    <w:t xml:space="preserve">with income greater than </w:t>
                  </w:r>
                  <w:r>
                    <w:t>£1m did not find it useful.</w:t>
                  </w:r>
                </w:p>
                <w:p w14:paraId="7F1DFB75" w14:textId="77777777" w:rsidR="00A52026" w:rsidRDefault="00CC4B5F" w:rsidP="00E154BC">
                  <w:r>
                    <w:t xml:space="preserve">It was noted both in Paper 3 and by the Committee that any </w:t>
                  </w:r>
                  <w:r w:rsidR="00E154BC">
                    <w:t xml:space="preserve">charity that wants to </w:t>
                  </w:r>
                  <w:r>
                    <w:t>present information in this way can already do so</w:t>
                  </w:r>
                  <w:r w:rsidR="00E154BC">
                    <w:t xml:space="preserve">, perhaps even in an annual review. </w:t>
                  </w:r>
                </w:p>
                <w:p w14:paraId="46C37B93" w14:textId="6245DE45" w:rsidR="00E154BC" w:rsidRDefault="00E154BC" w:rsidP="00E154BC">
                  <w:r>
                    <w:t xml:space="preserve">One concern is the use of financial ratios, </w:t>
                  </w:r>
                  <w:r w:rsidR="00A52026">
                    <w:t>this is a</w:t>
                  </w:r>
                  <w:r w:rsidR="00E941C4">
                    <w:t xml:space="preserve"> difficult</w:t>
                  </w:r>
                  <w:r w:rsidR="00A52026">
                    <w:t xml:space="preserve"> area</w:t>
                  </w:r>
                  <w:r w:rsidR="00E941C4">
                    <w:t>. S</w:t>
                  </w:r>
                  <w:r w:rsidR="00CC4B5F">
                    <w:t>uch reporting has its attractions as it is perceived to present common forms of measurement</w:t>
                  </w:r>
                  <w:r w:rsidR="002D37A0">
                    <w:t xml:space="preserve">. It was noted that </w:t>
                  </w:r>
                  <w:r w:rsidR="00EF5152">
                    <w:t xml:space="preserve">the </w:t>
                  </w:r>
                  <w:r w:rsidR="002D37A0">
                    <w:t xml:space="preserve">Charities Finance Directors Group </w:t>
                  </w:r>
                  <w:r>
                    <w:t>published a document that pushed against the use of ratios</w:t>
                  </w:r>
                  <w:r w:rsidR="002D37A0">
                    <w:t xml:space="preserve"> in a document </w:t>
                  </w:r>
                  <w:r w:rsidR="002D37A0" w:rsidRPr="00E941C4">
                    <w:rPr>
                      <w:i/>
                      <w:iCs/>
                    </w:rPr>
                    <w:t>Inputs Matter</w:t>
                  </w:r>
                  <w:r w:rsidR="002D37A0">
                    <w:t xml:space="preserve">. </w:t>
                  </w:r>
                </w:p>
                <w:p w14:paraId="5468A153" w14:textId="2D66833C" w:rsidR="00E154BC" w:rsidRDefault="002D37A0" w:rsidP="00E154BC">
                  <w:r>
                    <w:t xml:space="preserve">The Committee noted that it was important to </w:t>
                  </w:r>
                  <w:r w:rsidR="00E154BC">
                    <w:t>ensure that the SIR</w:t>
                  </w:r>
                  <w:r>
                    <w:t>s</w:t>
                  </w:r>
                  <w:r w:rsidR="00E154BC">
                    <w:t xml:space="preserve"> information </w:t>
                  </w:r>
                  <w:r>
                    <w:t>is in</w:t>
                  </w:r>
                  <w:r w:rsidR="00E154BC">
                    <w:t xml:space="preserve"> the charity register and can be accessed by the public</w:t>
                  </w:r>
                  <w:r>
                    <w:t>. C</w:t>
                  </w:r>
                  <w:r w:rsidR="00E154BC">
                    <w:t>harities could be encouraged to bring it to the attention of the</w:t>
                  </w:r>
                  <w:r>
                    <w:t xml:space="preserve"> user of accounts,</w:t>
                  </w:r>
                  <w:r w:rsidR="00E154BC">
                    <w:t xml:space="preserve"> but </w:t>
                  </w:r>
                  <w:r>
                    <w:t xml:space="preserve">the Committee was of the view that this was not an issue for the </w:t>
                  </w:r>
                  <w:r w:rsidR="00E154BC">
                    <w:t>SORP.</w:t>
                  </w:r>
                </w:p>
                <w:p w14:paraId="4D01CEB5" w14:textId="187B290F" w:rsidR="00E154BC" w:rsidRDefault="00E154BC" w:rsidP="00E154BC">
                  <w:r>
                    <w:t>The</w:t>
                  </w:r>
                  <w:r w:rsidR="002D37A0">
                    <w:t xml:space="preserve"> Committee was of the view that the</w:t>
                  </w:r>
                  <w:r>
                    <w:t xml:space="preserve"> case for change ha</w:t>
                  </w:r>
                  <w:r w:rsidR="002D37A0">
                    <w:t>d</w:t>
                  </w:r>
                  <w:r>
                    <w:t xml:space="preserve"> not been made</w:t>
                  </w:r>
                  <w:r w:rsidR="002D37A0">
                    <w:t xml:space="preserve">. Such proposals were </w:t>
                  </w:r>
                  <w:r w:rsidR="00E941C4">
                    <w:t>‘</w:t>
                  </w:r>
                  <w:r>
                    <w:t>fraught with difficulties</w:t>
                  </w:r>
                  <w:r w:rsidR="00E941C4">
                    <w:t>’</w:t>
                  </w:r>
                  <w:r w:rsidR="002D37A0">
                    <w:t>, particularly deciding what would be reported in a Summary Financial Information/Key Facts Page</w:t>
                  </w:r>
                  <w:r>
                    <w:t xml:space="preserve">. Charities are so diverse that it is hard to say what is key to one </w:t>
                  </w:r>
                  <w:r w:rsidR="002D37A0">
                    <w:t xml:space="preserve">would be </w:t>
                  </w:r>
                  <w:r>
                    <w:t xml:space="preserve">key to another. </w:t>
                  </w:r>
                </w:p>
                <w:p w14:paraId="5963E2A0" w14:textId="71D873ED" w:rsidR="00E154BC" w:rsidRDefault="00E154BC" w:rsidP="00E154BC">
                  <w:r>
                    <w:t xml:space="preserve">A more principled approach to give charities flexibility may be </w:t>
                  </w:r>
                  <w:r w:rsidR="002D37A0">
                    <w:t xml:space="preserve">a </w:t>
                  </w:r>
                  <w:r>
                    <w:t xml:space="preserve">better </w:t>
                  </w:r>
                  <w:r w:rsidR="002D37A0">
                    <w:t xml:space="preserve">alternative </w:t>
                  </w:r>
                  <w:r>
                    <w:t>as</w:t>
                  </w:r>
                  <w:r w:rsidR="002D37A0">
                    <w:t xml:space="preserve"> summary financial information/key facts </w:t>
                  </w:r>
                  <w:r>
                    <w:t xml:space="preserve">are not the same in every charity. </w:t>
                  </w:r>
                  <w:r w:rsidR="002D37A0">
                    <w:t>It was agreed that t</w:t>
                  </w:r>
                  <w:r>
                    <w:t xml:space="preserve">here is no case for change based on the feedback from the engagement stands, but there </w:t>
                  </w:r>
                  <w:r w:rsidR="002D37A0">
                    <w:t xml:space="preserve">may be the </w:t>
                  </w:r>
                  <w:r>
                    <w:t xml:space="preserve">case </w:t>
                  </w:r>
                  <w:r w:rsidR="002D37A0">
                    <w:t xml:space="preserve">to improve the instructions in the SORP to assist with the </w:t>
                  </w:r>
                  <w:r>
                    <w:t>interpretation for</w:t>
                  </w:r>
                  <w:r w:rsidR="002D37A0">
                    <w:t xml:space="preserve"> the layperson</w:t>
                  </w:r>
                  <w:r>
                    <w:t xml:space="preserve"> </w:t>
                  </w:r>
                  <w:r w:rsidR="00E941C4">
                    <w:t xml:space="preserve">and </w:t>
                  </w:r>
                  <w:r>
                    <w:t xml:space="preserve">to simplify </w:t>
                  </w:r>
                  <w:r w:rsidR="002D37A0">
                    <w:t xml:space="preserve">how </w:t>
                  </w:r>
                  <w:r>
                    <w:t xml:space="preserve">some </w:t>
                  </w:r>
                  <w:r w:rsidR="002D37A0">
                    <w:t>of the information is presented</w:t>
                  </w:r>
                  <w:r>
                    <w:t xml:space="preserve">. Although </w:t>
                  </w:r>
                  <w:r w:rsidR="002D37A0">
                    <w:t>it might be the case that such</w:t>
                  </w:r>
                  <w:r>
                    <w:t xml:space="preserve"> change should </w:t>
                  </w:r>
                  <w:r w:rsidR="002D37A0">
                    <w:t xml:space="preserve">emanate </w:t>
                  </w:r>
                  <w:r>
                    <w:t xml:space="preserve">from </w:t>
                  </w:r>
                  <w:r w:rsidR="002D37A0">
                    <w:t>effective</w:t>
                  </w:r>
                  <w:r>
                    <w:t xml:space="preserve"> reporting in the </w:t>
                  </w:r>
                  <w:r w:rsidR="002D37A0">
                    <w:t xml:space="preserve">trustees’ annual report. </w:t>
                  </w:r>
                  <w:r>
                    <w:t xml:space="preserve"> Perhaps encouragement </w:t>
                  </w:r>
                  <w:r w:rsidR="002D37A0">
                    <w:t>to improve presentation s</w:t>
                  </w:r>
                  <w:r>
                    <w:t xml:space="preserve">hould be </w:t>
                  </w:r>
                  <w:r w:rsidR="002D37A0">
                    <w:t xml:space="preserve">included </w:t>
                  </w:r>
                  <w:r>
                    <w:t xml:space="preserve">in the SORP rather than </w:t>
                  </w:r>
                  <w:r w:rsidR="002D37A0">
                    <w:t xml:space="preserve">the </w:t>
                  </w:r>
                  <w:r>
                    <w:t>introduc</w:t>
                  </w:r>
                  <w:r w:rsidR="002D37A0">
                    <w:t>tion of</w:t>
                  </w:r>
                  <w:r>
                    <w:t xml:space="preserve"> additional </w:t>
                  </w:r>
                  <w:r w:rsidR="002D37A0">
                    <w:t xml:space="preserve">reporting </w:t>
                  </w:r>
                  <w:r>
                    <w:t>requirements.</w:t>
                  </w:r>
                </w:p>
                <w:p w14:paraId="67F9EB0A" w14:textId="61BA6D8A" w:rsidR="00E154BC" w:rsidRDefault="00B216A6" w:rsidP="00E154BC">
                  <w:r>
                    <w:t>A committee member raised the issue that there</w:t>
                  </w:r>
                  <w:r w:rsidR="00E154BC">
                    <w:t xml:space="preserve"> is no current answer to the criticism that the information </w:t>
                  </w:r>
                  <w:r w:rsidR="008B098A">
                    <w:t xml:space="preserve">in the trustees’ annual report and accounts </w:t>
                  </w:r>
                  <w:r w:rsidR="00E154BC">
                    <w:t>is not easy</w:t>
                  </w:r>
                  <w:r>
                    <w:t xml:space="preserve"> for users to understand unless they have an accounting background. Rejection of further </w:t>
                  </w:r>
                  <w:r w:rsidR="00E154BC">
                    <w:t xml:space="preserve">requests for clarity then will </w:t>
                  </w:r>
                  <w:r>
                    <w:t xml:space="preserve">mean that this issue will </w:t>
                  </w:r>
                  <w:r w:rsidR="008B098A">
                    <w:t xml:space="preserve">keep </w:t>
                  </w:r>
                  <w:r>
                    <w:lastRenderedPageBreak/>
                    <w:t>be</w:t>
                  </w:r>
                  <w:r w:rsidR="008B098A">
                    <w:t>ing</w:t>
                  </w:r>
                  <w:r>
                    <w:t xml:space="preserve"> presented to the Committee in the future u</w:t>
                  </w:r>
                  <w:r w:rsidR="00E154BC">
                    <w:t xml:space="preserve">ntil someone forces a </w:t>
                  </w:r>
                  <w:r>
                    <w:t>solution</w:t>
                  </w:r>
                  <w:r w:rsidR="00E154BC">
                    <w:t xml:space="preserve">, as has happened with </w:t>
                  </w:r>
                  <w:r>
                    <w:t xml:space="preserve">Chief Executive Officers </w:t>
                  </w:r>
                  <w:r w:rsidR="00E154BC">
                    <w:t>pay</w:t>
                  </w:r>
                  <w:r>
                    <w:t>.</w:t>
                  </w:r>
                </w:p>
                <w:p w14:paraId="79BAD371" w14:textId="6AA191CC" w:rsidR="00E154BC" w:rsidRDefault="00D50E3C" w:rsidP="00E154BC">
                  <w:r>
                    <w:t xml:space="preserve">Consideration may be given to whether </w:t>
                  </w:r>
                  <w:r w:rsidR="00E154BC">
                    <w:t>there</w:t>
                  </w:r>
                  <w:r w:rsidR="008B098A">
                    <w:t xml:space="preserve"> could be</w:t>
                  </w:r>
                  <w:r w:rsidR="00E154BC">
                    <w:t xml:space="preserve"> wording in the SORP to encourage </w:t>
                  </w:r>
                  <w:r>
                    <w:t xml:space="preserve">accounts </w:t>
                  </w:r>
                  <w:r w:rsidR="00E154BC">
                    <w:t>preparers to clarify these key facts</w:t>
                  </w:r>
                  <w:r>
                    <w:t>.</w:t>
                  </w:r>
                  <w:r w:rsidR="00E154BC">
                    <w:t xml:space="preserve"> The requirement is already covered by paragraph 1.2 of the </w:t>
                  </w:r>
                  <w:r>
                    <w:t>SORP,</w:t>
                  </w:r>
                  <w:r w:rsidR="00E154BC">
                    <w:t xml:space="preserve"> but this may be overlooked as being seen as part of the preamble. </w:t>
                  </w:r>
                  <w:r>
                    <w:t xml:space="preserve">The Committee was of the view that consideration needed to be given to the issue that needed to be addressed so more thought was needed on that issue and </w:t>
                  </w:r>
                  <w:r w:rsidR="00E154BC">
                    <w:t>how to encourage people to come to the SORP with the correct mindset.</w:t>
                  </w:r>
                </w:p>
                <w:p w14:paraId="55ECA1AA" w14:textId="1D4F9C06" w:rsidR="00E154BC" w:rsidRDefault="00D50E3C" w:rsidP="00E154BC">
                  <w:r>
                    <w:t xml:space="preserve">The Committee noted that </w:t>
                  </w:r>
                  <w:r w:rsidR="00932E5A">
                    <w:t>from the</w:t>
                  </w:r>
                  <w:r w:rsidR="00E154BC">
                    <w:t xml:space="preserve"> </w:t>
                  </w:r>
                  <w:r w:rsidR="00932E5A">
                    <w:t>current s</w:t>
                  </w:r>
                  <w:r w:rsidR="00E154BC">
                    <w:t>mall charities research</w:t>
                  </w:r>
                  <w:r w:rsidR="00932E5A">
                    <w:t xml:space="preserve"> project which </w:t>
                  </w:r>
                  <w:r w:rsidR="00CE3ACD">
                    <w:t>h</w:t>
                  </w:r>
                  <w:r w:rsidR="00932E5A">
                    <w:t>as reviewed</w:t>
                  </w:r>
                  <w:r w:rsidR="00E154BC">
                    <w:t xml:space="preserve"> more than 12,000 sets of accounts, in more than 25% of the cases it is not clear whether the charity has adopted SORP accounts or</w:t>
                  </w:r>
                  <w:r w:rsidR="00932E5A">
                    <w:t xml:space="preserve"> receipts and payments </w:t>
                  </w:r>
                  <w:r w:rsidR="00E154BC">
                    <w:t>accounts. If</w:t>
                  </w:r>
                  <w:r w:rsidR="00932E5A">
                    <w:t xml:space="preserve"> this cannot be presented clearly </w:t>
                  </w:r>
                  <w:r w:rsidR="00E154BC">
                    <w:t xml:space="preserve">then there is a significant </w:t>
                  </w:r>
                  <w:r w:rsidR="00932E5A">
                    <w:t>issue of</w:t>
                  </w:r>
                  <w:r w:rsidR="00E154BC">
                    <w:t xml:space="preserve"> non</w:t>
                  </w:r>
                  <w:r w:rsidR="00932E5A">
                    <w:t>-</w:t>
                  </w:r>
                  <w:r w:rsidR="00E154BC">
                    <w:t>compliance that</w:t>
                  </w:r>
                  <w:r w:rsidR="00932E5A">
                    <w:t xml:space="preserve"> cannot b</w:t>
                  </w:r>
                  <w:r w:rsidR="00E154BC">
                    <w:t>e addressed by th</w:t>
                  </w:r>
                  <w:r w:rsidR="00932E5A">
                    <w:t>e SORP alone</w:t>
                  </w:r>
                  <w:r w:rsidR="00E154BC">
                    <w:t>.</w:t>
                  </w:r>
                </w:p>
                <w:p w14:paraId="1FA25856" w14:textId="228D5342" w:rsidR="00932E5A" w:rsidRDefault="00932E5A" w:rsidP="00E154BC">
                  <w:r>
                    <w:t>T</w:t>
                  </w:r>
                  <w:r w:rsidR="00E154BC">
                    <w:t xml:space="preserve">rustees need to be able to use the SORP, primarily it is aimed </w:t>
                  </w:r>
                  <w:r w:rsidR="00CE3ACD">
                    <w:t xml:space="preserve">at </w:t>
                  </w:r>
                  <w:r>
                    <w:t>those readers who understand accounting concepts and terminology</w:t>
                  </w:r>
                  <w:r w:rsidR="00E154BC">
                    <w:t xml:space="preserve">, except Module 1 </w:t>
                  </w:r>
                  <w:r w:rsidR="0084587B">
                    <w:t xml:space="preserve">that </w:t>
                  </w:r>
                  <w:r w:rsidR="00E154BC">
                    <w:t xml:space="preserve">is aimed at trustees. Perhaps the Committee could consider </w:t>
                  </w:r>
                  <w:r>
                    <w:t>making recommendations for drafting that part</w:t>
                  </w:r>
                  <w:r w:rsidR="00E941C4">
                    <w:t xml:space="preserve"> of the SORP and</w:t>
                  </w:r>
                  <w:r>
                    <w:t xml:space="preserve"> aim</w:t>
                  </w:r>
                  <w:r w:rsidR="00E941C4">
                    <w:t xml:space="preserve"> it </w:t>
                  </w:r>
                  <w:r>
                    <w:t xml:space="preserve">at trustees with less financial reporting experience and highlighting the need to present summary financial information and key facts in the trustees’ annual report in such a way that it is easily accessible to the users of the accounts. </w:t>
                  </w:r>
                </w:p>
                <w:p w14:paraId="1FBF905B" w14:textId="22BFD6CE" w:rsidR="00932E5A" w:rsidRDefault="00E154BC" w:rsidP="00E154BC">
                  <w:r>
                    <w:t xml:space="preserve">There have been suggestions that as the Regulators </w:t>
                  </w:r>
                  <w:r w:rsidR="00932E5A">
                    <w:t>collect summary financial information and key facts that they could provide such information.</w:t>
                  </w:r>
                </w:p>
                <w:p w14:paraId="77DBEE6D" w14:textId="7BEF4F09" w:rsidR="00932E5A" w:rsidRDefault="00932E5A" w:rsidP="00E154BC">
                  <w:r>
                    <w:t xml:space="preserve">CIPFA noted that there was some consensus included in paragraph 3.8 of paper 3 about what could be included in a Summary Financial Information/Key Facts page this was summarised </w:t>
                  </w:r>
                  <w:r w:rsidR="00CE3ACD">
                    <w:t xml:space="preserve">in </w:t>
                  </w:r>
                  <w:r>
                    <w:t xml:space="preserve">paragraph 3.8 of the report. </w:t>
                  </w:r>
                </w:p>
                <w:p w14:paraId="2A41225A" w14:textId="557D6815" w:rsidR="00E154BC" w:rsidRDefault="00932E5A" w:rsidP="00E154BC">
                  <w:r>
                    <w:t>The Committee noted that t</w:t>
                  </w:r>
                  <w:r w:rsidR="00E154BC">
                    <w:t>h</w:t>
                  </w:r>
                  <w:r>
                    <w:t>is information is al</w:t>
                  </w:r>
                  <w:r w:rsidR="00E154BC">
                    <w:t xml:space="preserve">ready </w:t>
                  </w:r>
                  <w:r>
                    <w:t xml:space="preserve">covered </w:t>
                  </w:r>
                  <w:r w:rsidR="00E154BC">
                    <w:t xml:space="preserve">in the </w:t>
                  </w:r>
                  <w:r>
                    <w:t>trustees</w:t>
                  </w:r>
                  <w:r w:rsidR="00B43135">
                    <w:t>’</w:t>
                  </w:r>
                  <w:r>
                    <w:t xml:space="preserve"> annual report. </w:t>
                  </w:r>
                  <w:r w:rsidR="00E154BC">
                    <w:t xml:space="preserve"> From a </w:t>
                  </w:r>
                  <w:proofErr w:type="gramStart"/>
                  <w:r w:rsidR="00E154BC">
                    <w:t>funders</w:t>
                  </w:r>
                  <w:proofErr w:type="gramEnd"/>
                  <w:r w:rsidR="00E154BC">
                    <w:t xml:space="preserve"> perspective</w:t>
                  </w:r>
                  <w:r w:rsidR="00CE3ACD">
                    <w:t>,</w:t>
                  </w:r>
                  <w:r w:rsidR="00E154BC">
                    <w:t xml:space="preserve"> the key facts page will not help </w:t>
                  </w:r>
                  <w:r w:rsidR="00B43135">
                    <w:t xml:space="preserve">them </w:t>
                  </w:r>
                  <w:r w:rsidR="00E154BC">
                    <w:t>make</w:t>
                  </w:r>
                  <w:r w:rsidR="00B43135">
                    <w:t xml:space="preserve"> economic</w:t>
                  </w:r>
                  <w:r w:rsidR="00E154BC">
                    <w:t xml:space="preserve"> decisions.</w:t>
                  </w:r>
                </w:p>
                <w:p w14:paraId="1FCFA23A" w14:textId="29C72495" w:rsidR="00E154BC" w:rsidRDefault="00B43135" w:rsidP="00E154BC">
                  <w:r>
                    <w:t>The Committee considered who this information was aimed at</w:t>
                  </w:r>
                  <w:r w:rsidR="00E941C4">
                    <w:t>. I</w:t>
                  </w:r>
                  <w:r>
                    <w:t xml:space="preserve">t </w:t>
                  </w:r>
                  <w:r w:rsidR="00E941C4">
                    <w:t>expressed the view</w:t>
                  </w:r>
                  <w:r>
                    <w:t xml:space="preserve"> that it wa</w:t>
                  </w:r>
                  <w:r w:rsidR="00E154BC">
                    <w:t>s</w:t>
                  </w:r>
                  <w:r>
                    <w:t xml:space="preserve"> aimed at </w:t>
                  </w:r>
                  <w:r w:rsidR="00E154BC">
                    <w:t xml:space="preserve">people like journalists who wish to use </w:t>
                  </w:r>
                  <w:r>
                    <w:t xml:space="preserve">it, but concerns were raised that such information </w:t>
                  </w:r>
                  <w:r w:rsidR="00E154BC">
                    <w:t>may be used out of context.</w:t>
                  </w:r>
                </w:p>
                <w:p w14:paraId="7BAE12FC" w14:textId="77777777" w:rsidR="00E154BC" w:rsidRDefault="00E154BC" w:rsidP="00FB4323"/>
              </w:tc>
              <w:tc>
                <w:tcPr>
                  <w:tcW w:w="839" w:type="dxa"/>
                  <w:vAlign w:val="bottom"/>
                </w:tcPr>
                <w:p w14:paraId="601B3550" w14:textId="77777777" w:rsidR="00E154BC" w:rsidRDefault="00E154BC" w:rsidP="00B122D1">
                  <w:pPr>
                    <w:spacing w:before="100" w:beforeAutospacing="1" w:line="276" w:lineRule="auto"/>
                    <w:rPr>
                      <w:rFonts w:eastAsiaTheme="minorEastAsia"/>
                      <w:lang w:eastAsia="en-GB"/>
                    </w:rPr>
                  </w:pPr>
                </w:p>
              </w:tc>
            </w:tr>
            <w:tr w:rsidR="00B122D1" w:rsidRPr="00E7339A" w14:paraId="7679DD2B" w14:textId="77777777" w:rsidTr="00001CE0">
              <w:tc>
                <w:tcPr>
                  <w:tcW w:w="907" w:type="dxa"/>
                </w:tcPr>
                <w:p w14:paraId="3E099688" w14:textId="5A8F3D01" w:rsidR="00B122D1" w:rsidRPr="00057B71" w:rsidRDefault="00F57BC8" w:rsidP="00B122D1">
                  <w:pPr>
                    <w:spacing w:before="100" w:beforeAutospacing="1" w:line="276" w:lineRule="auto"/>
                    <w:rPr>
                      <w:rFonts w:eastAsiaTheme="minorEastAsia"/>
                      <w:b/>
                      <w:bCs/>
                      <w:lang w:eastAsia="en-GB"/>
                    </w:rPr>
                  </w:pPr>
                  <w:r>
                    <w:rPr>
                      <w:rFonts w:eastAsiaTheme="minorEastAsia"/>
                      <w:b/>
                      <w:bCs/>
                      <w:lang w:eastAsia="en-GB"/>
                    </w:rPr>
                    <w:t>6.0</w:t>
                  </w:r>
                </w:p>
              </w:tc>
              <w:tc>
                <w:tcPr>
                  <w:tcW w:w="7268" w:type="dxa"/>
                </w:tcPr>
                <w:p w14:paraId="10E0A41E" w14:textId="32ADA129" w:rsidR="00B122D1" w:rsidRPr="00057B71" w:rsidRDefault="00B122D1" w:rsidP="00F57BC8">
                  <w:pPr>
                    <w:rPr>
                      <w:b/>
                      <w:bCs/>
                    </w:rPr>
                  </w:pPr>
                  <w:r w:rsidRPr="00057B71">
                    <w:rPr>
                      <w:b/>
                      <w:bCs/>
                    </w:rPr>
                    <w:t xml:space="preserve">SORP </w:t>
                  </w:r>
                  <w:r w:rsidR="00F57BC8">
                    <w:rPr>
                      <w:b/>
                      <w:bCs/>
                    </w:rPr>
                    <w:t>W</w:t>
                  </w:r>
                  <w:r w:rsidRPr="00057B71">
                    <w:rPr>
                      <w:b/>
                      <w:bCs/>
                    </w:rPr>
                    <w:t xml:space="preserve">orking </w:t>
                  </w:r>
                  <w:r w:rsidR="00F57BC8">
                    <w:rPr>
                      <w:b/>
                      <w:bCs/>
                    </w:rPr>
                    <w:t>G</w:t>
                  </w:r>
                  <w:r w:rsidRPr="00057B71">
                    <w:rPr>
                      <w:b/>
                      <w:bCs/>
                    </w:rPr>
                    <w:t xml:space="preserve">roups – </w:t>
                  </w:r>
                  <w:r w:rsidR="00F57BC8">
                    <w:rPr>
                      <w:b/>
                      <w:bCs/>
                    </w:rPr>
                    <w:t>N</w:t>
                  </w:r>
                  <w:r w:rsidRPr="00057B71">
                    <w:rPr>
                      <w:b/>
                      <w:bCs/>
                    </w:rPr>
                    <w:t xml:space="preserve">ext </w:t>
                  </w:r>
                  <w:r w:rsidR="00F57BC8">
                    <w:rPr>
                      <w:b/>
                      <w:bCs/>
                    </w:rPr>
                    <w:t>S</w:t>
                  </w:r>
                  <w:r w:rsidRPr="00057B71">
                    <w:rPr>
                      <w:b/>
                      <w:bCs/>
                    </w:rPr>
                    <w:t>teps</w:t>
                  </w:r>
                </w:p>
              </w:tc>
              <w:tc>
                <w:tcPr>
                  <w:tcW w:w="839" w:type="dxa"/>
                  <w:vAlign w:val="bottom"/>
                </w:tcPr>
                <w:p w14:paraId="1504DC08" w14:textId="77777777" w:rsidR="00B122D1" w:rsidRDefault="00B122D1" w:rsidP="00B122D1">
                  <w:pPr>
                    <w:spacing w:before="100" w:beforeAutospacing="1" w:line="276" w:lineRule="auto"/>
                    <w:rPr>
                      <w:rFonts w:eastAsiaTheme="minorEastAsia"/>
                      <w:lang w:eastAsia="en-GB"/>
                    </w:rPr>
                  </w:pPr>
                </w:p>
              </w:tc>
            </w:tr>
            <w:tr w:rsidR="00B122D1" w:rsidRPr="00E7339A" w14:paraId="66A78740" w14:textId="77777777" w:rsidTr="00001CE0">
              <w:trPr>
                <w:trHeight w:val="2413"/>
              </w:trPr>
              <w:tc>
                <w:tcPr>
                  <w:tcW w:w="907" w:type="dxa"/>
                </w:tcPr>
                <w:p w14:paraId="3C26B8A7" w14:textId="07137655" w:rsidR="00B122D1" w:rsidRDefault="00F57BC8" w:rsidP="00B122D1">
                  <w:pPr>
                    <w:spacing w:before="100" w:beforeAutospacing="1" w:line="276" w:lineRule="auto"/>
                    <w:rPr>
                      <w:rFonts w:eastAsiaTheme="minorEastAsia"/>
                      <w:lang w:eastAsia="en-GB"/>
                    </w:rPr>
                  </w:pPr>
                  <w:r>
                    <w:rPr>
                      <w:rFonts w:eastAsiaTheme="minorEastAsia"/>
                      <w:lang w:eastAsia="en-GB"/>
                    </w:rPr>
                    <w:t>6.</w:t>
                  </w:r>
                  <w:r w:rsidR="00B122D1">
                    <w:rPr>
                      <w:rFonts w:eastAsiaTheme="minorEastAsia"/>
                      <w:lang w:eastAsia="en-GB"/>
                    </w:rPr>
                    <w:t>1</w:t>
                  </w:r>
                </w:p>
              </w:tc>
              <w:tc>
                <w:tcPr>
                  <w:tcW w:w="7268" w:type="dxa"/>
                </w:tcPr>
                <w:p w14:paraId="09299FF2" w14:textId="39EDC70D" w:rsidR="00B122D1" w:rsidRDefault="00B122D1" w:rsidP="00B122D1">
                  <w:r>
                    <w:t xml:space="preserve">The </w:t>
                  </w:r>
                  <w:r w:rsidR="00E941C4">
                    <w:t xml:space="preserve">Chair </w:t>
                  </w:r>
                  <w:r>
                    <w:t xml:space="preserve">reminded members that from the August meeting onwards the meetings will be split. The first part of the meeting will be items for discussion, the next part will be </w:t>
                  </w:r>
                  <w:r w:rsidR="00866DBE">
                    <w:t xml:space="preserve">separated </w:t>
                  </w:r>
                  <w:r>
                    <w:t>into 3 working groups</w:t>
                  </w:r>
                  <w:r w:rsidR="00866DBE">
                    <w:t xml:space="preserve"> A, B and C</w:t>
                  </w:r>
                  <w:r>
                    <w:t xml:space="preserve">. </w:t>
                  </w:r>
                  <w:r w:rsidR="00866DBE">
                    <w:t>T</w:t>
                  </w:r>
                  <w:r>
                    <w:t>he August meeting will discuss legacies and materiality.</w:t>
                  </w:r>
                </w:p>
                <w:p w14:paraId="0BD9751C" w14:textId="0ACF75EF" w:rsidR="00B122D1" w:rsidRDefault="00B122D1" w:rsidP="00B122D1">
                  <w:r>
                    <w:t xml:space="preserve">Papers will be circulated prior to those meetings. There are three </w:t>
                  </w:r>
                  <w:r w:rsidR="00866DBE">
                    <w:t xml:space="preserve">working </w:t>
                  </w:r>
                  <w:r w:rsidR="00F57BC8">
                    <w:t>groups,</w:t>
                  </w:r>
                  <w:r>
                    <w:t xml:space="preserve"> and a chair is required for each</w:t>
                  </w:r>
                  <w:r w:rsidR="00866DBE">
                    <w:t>. It was noted that two working groups already had a volunteer chair. The meeting agreed</w:t>
                  </w:r>
                  <w:r w:rsidR="00CE3ACD">
                    <w:t xml:space="preserve"> on</w:t>
                  </w:r>
                  <w:r w:rsidR="00866DBE">
                    <w:t xml:space="preserve"> the following chairs:</w:t>
                  </w:r>
                </w:p>
                <w:p w14:paraId="047E5D8B" w14:textId="1209DF6F" w:rsidR="00B122D1" w:rsidRDefault="00B122D1" w:rsidP="00F57BC8">
                  <w:pPr>
                    <w:pStyle w:val="ListParagraph"/>
                    <w:numPr>
                      <w:ilvl w:val="0"/>
                      <w:numId w:val="38"/>
                    </w:numPr>
                  </w:pPr>
                  <w:r>
                    <w:t>Caron Bradshaw; Group A</w:t>
                  </w:r>
                </w:p>
                <w:p w14:paraId="22F89C0A" w14:textId="34A06FC8" w:rsidR="00B122D1" w:rsidRDefault="00B122D1" w:rsidP="00F57BC8">
                  <w:pPr>
                    <w:pStyle w:val="ListParagraph"/>
                    <w:numPr>
                      <w:ilvl w:val="0"/>
                      <w:numId w:val="38"/>
                    </w:numPr>
                  </w:pPr>
                  <w:r>
                    <w:t>Carol R</w:t>
                  </w:r>
                  <w:r w:rsidR="003773C8">
                    <w:t>u</w:t>
                  </w:r>
                  <w:r>
                    <w:t>dge; Group B</w:t>
                  </w:r>
                </w:p>
                <w:p w14:paraId="0BDA84F0" w14:textId="720FB79E" w:rsidR="00B122D1" w:rsidRDefault="00E941C4" w:rsidP="00F57BC8">
                  <w:pPr>
                    <w:pStyle w:val="ListParagraph"/>
                    <w:numPr>
                      <w:ilvl w:val="0"/>
                      <w:numId w:val="38"/>
                    </w:numPr>
                  </w:pPr>
                  <w:r>
                    <w:t xml:space="preserve">Daniel </w:t>
                  </w:r>
                  <w:r w:rsidR="00B122D1">
                    <w:t xml:space="preserve">Chan; Group C </w:t>
                  </w:r>
                </w:p>
                <w:p w14:paraId="530A31F2" w14:textId="1B26273A" w:rsidR="00B122D1" w:rsidRDefault="00866DBE" w:rsidP="00B122D1">
                  <w:r>
                    <w:lastRenderedPageBreak/>
                    <w:t>The working groups would agree</w:t>
                  </w:r>
                  <w:r w:rsidR="00CE3ACD">
                    <w:t xml:space="preserve"> on</w:t>
                  </w:r>
                  <w:r>
                    <w:t xml:space="preserve"> key actions/decisions for change with the CIPFA Secretariat. </w:t>
                  </w:r>
                  <w:r w:rsidR="00B122D1">
                    <w:t>Feedback from the working groups will be collated along with the feedback fr</w:t>
                  </w:r>
                  <w:r>
                    <w:t>o</w:t>
                  </w:r>
                  <w:r w:rsidR="00B122D1">
                    <w:t>m the engagement strands. This will all be fed back to the Committee for its final decision</w:t>
                  </w:r>
                  <w:r>
                    <w:t>/debate at a future meeting</w:t>
                  </w:r>
                  <w:r w:rsidR="00B122D1">
                    <w:t>.</w:t>
                  </w:r>
                </w:p>
                <w:p w14:paraId="667FF8CB" w14:textId="7730E252" w:rsidR="00B122D1" w:rsidRPr="00B6294E" w:rsidRDefault="00B122D1" w:rsidP="00AF0C83">
                  <w:r>
                    <w:t xml:space="preserve">Clarification was given that after the </w:t>
                  </w:r>
                  <w:r w:rsidR="003773C8">
                    <w:t xml:space="preserve">Committee members </w:t>
                  </w:r>
                  <w:r>
                    <w:t>split</w:t>
                  </w:r>
                  <w:r w:rsidR="003773C8">
                    <w:t xml:space="preserve"> into the working groups, </w:t>
                  </w:r>
                  <w:r>
                    <w:t>the Committee will not reconvene</w:t>
                  </w:r>
                  <w:r w:rsidR="00866DBE">
                    <w:t xml:space="preserve"> to discuss the working group meetings on that day. The C</w:t>
                  </w:r>
                  <w:r>
                    <w:t xml:space="preserve">hair </w:t>
                  </w:r>
                  <w:r w:rsidR="00AF0C83">
                    <w:t xml:space="preserve">of each working group </w:t>
                  </w:r>
                  <w:r>
                    <w:t>will be required to collate the decisions of that group</w:t>
                  </w:r>
                  <w:r w:rsidR="00866DBE">
                    <w:t xml:space="preserve"> so that they can be noted by CIPFA</w:t>
                  </w:r>
                </w:p>
              </w:tc>
              <w:tc>
                <w:tcPr>
                  <w:tcW w:w="839" w:type="dxa"/>
                  <w:vAlign w:val="bottom"/>
                </w:tcPr>
                <w:p w14:paraId="5678782F" w14:textId="77777777" w:rsidR="00B122D1" w:rsidRDefault="00B122D1" w:rsidP="00B122D1">
                  <w:pPr>
                    <w:spacing w:before="100" w:beforeAutospacing="1" w:line="276" w:lineRule="auto"/>
                    <w:rPr>
                      <w:rFonts w:eastAsiaTheme="minorEastAsia"/>
                      <w:lang w:eastAsia="en-GB"/>
                    </w:rPr>
                  </w:pPr>
                </w:p>
              </w:tc>
            </w:tr>
            <w:tr w:rsidR="00B122D1" w:rsidRPr="00E7339A" w14:paraId="674788A8" w14:textId="77777777" w:rsidTr="00001CE0">
              <w:tc>
                <w:tcPr>
                  <w:tcW w:w="907" w:type="dxa"/>
                </w:tcPr>
                <w:p w14:paraId="43FC9CD5" w14:textId="591FBC2B" w:rsidR="00B122D1" w:rsidRPr="00784737" w:rsidRDefault="00F57BC8" w:rsidP="00B122D1">
                  <w:pPr>
                    <w:spacing w:before="100" w:beforeAutospacing="1" w:line="276" w:lineRule="auto"/>
                    <w:rPr>
                      <w:rFonts w:eastAsiaTheme="minorEastAsia"/>
                      <w:b/>
                      <w:bCs/>
                      <w:lang w:eastAsia="en-GB"/>
                    </w:rPr>
                  </w:pPr>
                  <w:r>
                    <w:rPr>
                      <w:rFonts w:eastAsiaTheme="minorEastAsia"/>
                      <w:b/>
                      <w:bCs/>
                      <w:lang w:eastAsia="en-GB"/>
                    </w:rPr>
                    <w:t>7.0</w:t>
                  </w:r>
                </w:p>
              </w:tc>
              <w:tc>
                <w:tcPr>
                  <w:tcW w:w="7268" w:type="dxa"/>
                </w:tcPr>
                <w:p w14:paraId="4D197783" w14:textId="2B5B8400" w:rsidR="00B122D1" w:rsidRPr="00784737" w:rsidRDefault="00B122D1" w:rsidP="00B122D1">
                  <w:pPr>
                    <w:rPr>
                      <w:b/>
                      <w:bCs/>
                    </w:rPr>
                  </w:pPr>
                  <w:r w:rsidRPr="00784737">
                    <w:rPr>
                      <w:b/>
                      <w:bCs/>
                    </w:rPr>
                    <w:t>IFR4NPO</w:t>
                  </w:r>
                  <w:r w:rsidR="00866DBE">
                    <w:rPr>
                      <w:b/>
                      <w:bCs/>
                    </w:rPr>
                    <w:t xml:space="preserve"> Part 1 Consultation Re</w:t>
                  </w:r>
                  <w:r w:rsidRPr="00784737">
                    <w:rPr>
                      <w:b/>
                      <w:bCs/>
                    </w:rPr>
                    <w:t>sponse</w:t>
                  </w:r>
                </w:p>
              </w:tc>
              <w:tc>
                <w:tcPr>
                  <w:tcW w:w="839" w:type="dxa"/>
                  <w:vAlign w:val="bottom"/>
                </w:tcPr>
                <w:p w14:paraId="650AB826" w14:textId="77777777" w:rsidR="00B122D1" w:rsidRDefault="00B122D1" w:rsidP="00B122D1">
                  <w:pPr>
                    <w:spacing w:before="100" w:beforeAutospacing="1" w:line="276" w:lineRule="auto"/>
                    <w:rPr>
                      <w:rFonts w:eastAsiaTheme="minorEastAsia"/>
                      <w:lang w:eastAsia="en-GB"/>
                    </w:rPr>
                  </w:pPr>
                </w:p>
              </w:tc>
            </w:tr>
            <w:tr w:rsidR="00B122D1" w:rsidRPr="00E7339A" w14:paraId="3F211676" w14:textId="77777777" w:rsidTr="00001CE0">
              <w:trPr>
                <w:trHeight w:val="157"/>
              </w:trPr>
              <w:tc>
                <w:tcPr>
                  <w:tcW w:w="907" w:type="dxa"/>
                </w:tcPr>
                <w:p w14:paraId="3E5282BA" w14:textId="7D4395A5" w:rsidR="00B122D1" w:rsidRPr="00E02ADC" w:rsidRDefault="00F57BC8" w:rsidP="00B122D1">
                  <w:pPr>
                    <w:spacing w:before="100" w:beforeAutospacing="1" w:line="276" w:lineRule="auto"/>
                    <w:rPr>
                      <w:rFonts w:eastAsiaTheme="minorEastAsia"/>
                      <w:lang w:eastAsia="en-GB"/>
                    </w:rPr>
                  </w:pPr>
                  <w:r>
                    <w:rPr>
                      <w:rFonts w:eastAsiaTheme="minorEastAsia"/>
                      <w:lang w:eastAsia="en-GB"/>
                    </w:rPr>
                    <w:t>7</w:t>
                  </w:r>
                  <w:r w:rsidR="00B122D1" w:rsidRPr="00E02ADC">
                    <w:rPr>
                      <w:rFonts w:eastAsiaTheme="minorEastAsia"/>
                      <w:lang w:eastAsia="en-GB"/>
                    </w:rPr>
                    <w:t>.1</w:t>
                  </w:r>
                </w:p>
              </w:tc>
              <w:tc>
                <w:tcPr>
                  <w:tcW w:w="7268" w:type="dxa"/>
                  <w:shd w:val="clear" w:color="auto" w:fill="auto"/>
                </w:tcPr>
                <w:p w14:paraId="34BAE9BA" w14:textId="785A00CC" w:rsidR="00B122D1" w:rsidRPr="002D15C9" w:rsidRDefault="00B122D1" w:rsidP="003773C8">
                  <w:r>
                    <w:t>Apologies were given for the approaching deadline.</w:t>
                  </w:r>
                  <w:r w:rsidR="00866DBE">
                    <w:t xml:space="preserve"> It was noted that this issue had been discussed under matters arising. The </w:t>
                  </w:r>
                  <w:r w:rsidR="003773C8">
                    <w:t xml:space="preserve">draft response </w:t>
                  </w:r>
                  <w:r w:rsidR="00866DBE">
                    <w:t>would be issued on Friday 9 July 2021 with t</w:t>
                  </w:r>
                  <w:r>
                    <w:t xml:space="preserve">he deadline for comments </w:t>
                  </w:r>
                  <w:r w:rsidR="00866DBE">
                    <w:t>anticipated for</w:t>
                  </w:r>
                  <w:r>
                    <w:t xml:space="preserve"> 26 July</w:t>
                  </w:r>
                  <w:r w:rsidR="00866DBE">
                    <w:t xml:space="preserve"> 2021</w:t>
                  </w:r>
                  <w:r>
                    <w:t xml:space="preserve"> for submission on 3</w:t>
                  </w:r>
                  <w:r w:rsidR="00866DBE">
                    <w:t>0</w:t>
                  </w:r>
                  <w:r>
                    <w:t xml:space="preserve"> July. There is no obligation </w:t>
                  </w:r>
                  <w:r w:rsidR="00866DBE">
                    <w:t xml:space="preserve">for Committee members </w:t>
                  </w:r>
                  <w:r>
                    <w:t>to respond</w:t>
                  </w:r>
                  <w:r w:rsidR="00866DBE">
                    <w:t>. It was noted that t</w:t>
                  </w:r>
                  <w:r>
                    <w:t xml:space="preserve">his will be the only submission </w:t>
                  </w:r>
                  <w:r w:rsidR="00E941C4">
                    <w:t xml:space="preserve">the Committee </w:t>
                  </w:r>
                  <w:r w:rsidR="003773C8">
                    <w:t xml:space="preserve">will </w:t>
                  </w:r>
                  <w:r>
                    <w:t>be making</w:t>
                  </w:r>
                  <w:r w:rsidR="00866DBE">
                    <w:t xml:space="preserve"> to this consultation.</w:t>
                  </w:r>
                </w:p>
              </w:tc>
              <w:tc>
                <w:tcPr>
                  <w:tcW w:w="839" w:type="dxa"/>
                  <w:vAlign w:val="center"/>
                </w:tcPr>
                <w:p w14:paraId="01A557AC" w14:textId="77777777" w:rsidR="00B122D1" w:rsidRDefault="00B122D1" w:rsidP="00B122D1">
                  <w:pPr>
                    <w:spacing w:before="100" w:beforeAutospacing="1" w:line="276" w:lineRule="auto"/>
                    <w:rPr>
                      <w:rFonts w:eastAsiaTheme="minorEastAsia"/>
                      <w:lang w:eastAsia="en-GB"/>
                    </w:rPr>
                  </w:pPr>
                </w:p>
              </w:tc>
            </w:tr>
            <w:tr w:rsidR="00B122D1" w:rsidRPr="00E7339A" w14:paraId="19751A8B" w14:textId="77777777" w:rsidTr="00001CE0">
              <w:trPr>
                <w:trHeight w:val="157"/>
              </w:trPr>
              <w:tc>
                <w:tcPr>
                  <w:tcW w:w="907" w:type="dxa"/>
                </w:tcPr>
                <w:p w14:paraId="3F38F3AB" w14:textId="3C483CC4" w:rsidR="00B122D1" w:rsidRPr="00665288" w:rsidRDefault="00F57BC8" w:rsidP="00B122D1">
                  <w:pPr>
                    <w:spacing w:before="100" w:beforeAutospacing="1" w:line="276" w:lineRule="auto"/>
                    <w:rPr>
                      <w:rFonts w:eastAsiaTheme="minorEastAsia"/>
                      <w:b/>
                      <w:bCs/>
                      <w:lang w:eastAsia="en-GB"/>
                    </w:rPr>
                  </w:pPr>
                  <w:r>
                    <w:rPr>
                      <w:rFonts w:eastAsiaTheme="minorEastAsia"/>
                      <w:b/>
                      <w:bCs/>
                      <w:lang w:eastAsia="en-GB"/>
                    </w:rPr>
                    <w:t>8.0</w:t>
                  </w:r>
                </w:p>
              </w:tc>
              <w:tc>
                <w:tcPr>
                  <w:tcW w:w="7268" w:type="dxa"/>
                  <w:shd w:val="clear" w:color="auto" w:fill="auto"/>
                </w:tcPr>
                <w:p w14:paraId="06E8C8D5" w14:textId="6901D8A9" w:rsidR="00B122D1" w:rsidRPr="00665288" w:rsidRDefault="00B122D1" w:rsidP="00B122D1">
                  <w:pPr>
                    <w:rPr>
                      <w:b/>
                      <w:bCs/>
                    </w:rPr>
                  </w:pPr>
                  <w:r w:rsidRPr="00665288">
                    <w:rPr>
                      <w:b/>
                      <w:bCs/>
                    </w:rPr>
                    <w:t xml:space="preserve">AOB </w:t>
                  </w:r>
                </w:p>
              </w:tc>
              <w:tc>
                <w:tcPr>
                  <w:tcW w:w="839" w:type="dxa"/>
                  <w:vAlign w:val="center"/>
                </w:tcPr>
                <w:p w14:paraId="2B6D4176" w14:textId="77777777" w:rsidR="00B122D1" w:rsidRDefault="00B122D1" w:rsidP="00B122D1">
                  <w:pPr>
                    <w:spacing w:before="100" w:beforeAutospacing="1" w:line="276" w:lineRule="auto"/>
                    <w:rPr>
                      <w:rFonts w:eastAsiaTheme="minorEastAsia"/>
                      <w:lang w:eastAsia="en-GB"/>
                    </w:rPr>
                  </w:pPr>
                </w:p>
              </w:tc>
            </w:tr>
            <w:tr w:rsidR="00B122D1" w:rsidRPr="00E7339A" w14:paraId="2A8D4093" w14:textId="77777777" w:rsidTr="00001CE0">
              <w:trPr>
                <w:trHeight w:val="157"/>
              </w:trPr>
              <w:tc>
                <w:tcPr>
                  <w:tcW w:w="907" w:type="dxa"/>
                </w:tcPr>
                <w:p w14:paraId="0C8FE1F6" w14:textId="2A237113" w:rsidR="00B122D1" w:rsidRPr="00665288" w:rsidRDefault="00F57BC8" w:rsidP="00B122D1">
                  <w:pPr>
                    <w:spacing w:before="100" w:beforeAutospacing="1" w:line="276" w:lineRule="auto"/>
                    <w:rPr>
                      <w:rFonts w:eastAsiaTheme="minorEastAsia"/>
                      <w:b/>
                      <w:bCs/>
                      <w:lang w:eastAsia="en-GB"/>
                    </w:rPr>
                  </w:pPr>
                  <w:r>
                    <w:rPr>
                      <w:rFonts w:eastAsiaTheme="minorEastAsia"/>
                      <w:b/>
                      <w:bCs/>
                      <w:lang w:eastAsia="en-GB"/>
                    </w:rPr>
                    <w:t>8</w:t>
                  </w:r>
                  <w:r w:rsidR="00B122D1" w:rsidRPr="00665288">
                    <w:rPr>
                      <w:rFonts w:eastAsiaTheme="minorEastAsia"/>
                      <w:b/>
                      <w:bCs/>
                      <w:lang w:eastAsia="en-GB"/>
                    </w:rPr>
                    <w:t>.1</w:t>
                  </w:r>
                </w:p>
              </w:tc>
              <w:tc>
                <w:tcPr>
                  <w:tcW w:w="7268" w:type="dxa"/>
                  <w:shd w:val="clear" w:color="auto" w:fill="auto"/>
                </w:tcPr>
                <w:p w14:paraId="06DC48FA" w14:textId="479BD04A" w:rsidR="00B122D1" w:rsidRPr="00665288" w:rsidRDefault="00B122D1" w:rsidP="00B122D1">
                  <w:pPr>
                    <w:rPr>
                      <w:b/>
                      <w:bCs/>
                    </w:rPr>
                  </w:pPr>
                  <w:r w:rsidRPr="00665288">
                    <w:rPr>
                      <w:b/>
                      <w:bCs/>
                    </w:rPr>
                    <w:t xml:space="preserve">Future Committee Dates </w:t>
                  </w:r>
                </w:p>
              </w:tc>
              <w:tc>
                <w:tcPr>
                  <w:tcW w:w="839" w:type="dxa"/>
                  <w:vAlign w:val="center"/>
                </w:tcPr>
                <w:p w14:paraId="4BE8518C" w14:textId="77777777" w:rsidR="00B122D1" w:rsidRDefault="00B122D1" w:rsidP="00B122D1">
                  <w:pPr>
                    <w:spacing w:before="100" w:beforeAutospacing="1" w:line="276" w:lineRule="auto"/>
                    <w:rPr>
                      <w:rFonts w:eastAsiaTheme="minorEastAsia"/>
                      <w:lang w:eastAsia="en-GB"/>
                    </w:rPr>
                  </w:pPr>
                </w:p>
              </w:tc>
            </w:tr>
            <w:tr w:rsidR="00B122D1" w:rsidRPr="00E7339A" w14:paraId="57BA1526" w14:textId="77777777" w:rsidTr="00001CE0">
              <w:trPr>
                <w:trHeight w:val="157"/>
              </w:trPr>
              <w:tc>
                <w:tcPr>
                  <w:tcW w:w="907" w:type="dxa"/>
                </w:tcPr>
                <w:p w14:paraId="093E5B70" w14:textId="7EFAF8FB" w:rsidR="00B122D1" w:rsidRDefault="00B122D1" w:rsidP="00B122D1">
                  <w:pPr>
                    <w:spacing w:before="100" w:beforeAutospacing="1" w:line="276" w:lineRule="auto"/>
                    <w:rPr>
                      <w:rFonts w:eastAsiaTheme="minorEastAsia"/>
                      <w:lang w:eastAsia="en-GB"/>
                    </w:rPr>
                  </w:pPr>
                </w:p>
              </w:tc>
              <w:tc>
                <w:tcPr>
                  <w:tcW w:w="7268" w:type="dxa"/>
                  <w:shd w:val="clear" w:color="auto" w:fill="auto"/>
                </w:tcPr>
                <w:p w14:paraId="1EA98579" w14:textId="0BBB6E09" w:rsidR="00B122D1" w:rsidRDefault="00866DBE" w:rsidP="00B122D1">
                  <w:r>
                    <w:t>It was noted that f</w:t>
                  </w:r>
                  <w:r w:rsidR="00B122D1">
                    <w:t>uture Committee meeting</w:t>
                  </w:r>
                  <w:r>
                    <w:t xml:space="preserve"> invitations</w:t>
                  </w:r>
                  <w:r w:rsidR="00B122D1">
                    <w:t xml:space="preserve"> should be in the diaries now.</w:t>
                  </w:r>
                </w:p>
                <w:p w14:paraId="7E5BC071" w14:textId="367F71C0" w:rsidR="00B122D1" w:rsidRDefault="00B122D1" w:rsidP="00B122D1">
                  <w:r>
                    <w:t xml:space="preserve">Planning for the meetings’ agenda and planning of the meetings for January and February is underway. </w:t>
                  </w:r>
                  <w:r w:rsidR="00866DBE">
                    <w:t xml:space="preserve">A research meeting will also need to be </w:t>
                  </w:r>
                  <w:r>
                    <w:t>organise</w:t>
                  </w:r>
                  <w:r w:rsidR="00866DBE">
                    <w:t>d.</w:t>
                  </w:r>
                </w:p>
                <w:p w14:paraId="3846932E" w14:textId="6FEC252D" w:rsidR="00B122D1" w:rsidRDefault="00B122D1" w:rsidP="00B122D1"/>
              </w:tc>
              <w:tc>
                <w:tcPr>
                  <w:tcW w:w="839" w:type="dxa"/>
                  <w:vAlign w:val="center"/>
                </w:tcPr>
                <w:p w14:paraId="06892E18" w14:textId="77777777" w:rsidR="00B122D1" w:rsidRDefault="00B122D1" w:rsidP="00B122D1">
                  <w:pPr>
                    <w:spacing w:before="100" w:beforeAutospacing="1" w:line="276" w:lineRule="auto"/>
                    <w:rPr>
                      <w:rFonts w:eastAsiaTheme="minorEastAsia"/>
                      <w:lang w:eastAsia="en-GB"/>
                    </w:rPr>
                  </w:pPr>
                </w:p>
              </w:tc>
            </w:tr>
            <w:tr w:rsidR="00B122D1" w:rsidRPr="00E7339A" w14:paraId="776AA2A3" w14:textId="77777777" w:rsidTr="00001CE0">
              <w:trPr>
                <w:trHeight w:val="157"/>
              </w:trPr>
              <w:tc>
                <w:tcPr>
                  <w:tcW w:w="907" w:type="dxa"/>
                </w:tcPr>
                <w:p w14:paraId="6B9479DE" w14:textId="535E8FA2" w:rsidR="00B122D1" w:rsidRPr="00665288" w:rsidRDefault="00F57BC8" w:rsidP="00B122D1">
                  <w:pPr>
                    <w:spacing w:before="100" w:beforeAutospacing="1" w:line="276" w:lineRule="auto"/>
                    <w:rPr>
                      <w:rFonts w:eastAsiaTheme="minorEastAsia"/>
                      <w:b/>
                      <w:bCs/>
                      <w:lang w:eastAsia="en-GB"/>
                    </w:rPr>
                  </w:pPr>
                  <w:r>
                    <w:rPr>
                      <w:rFonts w:eastAsiaTheme="minorEastAsia"/>
                      <w:b/>
                      <w:bCs/>
                      <w:lang w:eastAsia="en-GB"/>
                    </w:rPr>
                    <w:t>8</w:t>
                  </w:r>
                  <w:r w:rsidR="00B122D1" w:rsidRPr="00665288">
                    <w:rPr>
                      <w:rFonts w:eastAsiaTheme="minorEastAsia"/>
                      <w:b/>
                      <w:bCs/>
                      <w:lang w:eastAsia="en-GB"/>
                    </w:rPr>
                    <w:t>.</w:t>
                  </w:r>
                  <w:r w:rsidR="00B122D1">
                    <w:rPr>
                      <w:rFonts w:eastAsiaTheme="minorEastAsia"/>
                      <w:b/>
                      <w:bCs/>
                      <w:lang w:eastAsia="en-GB"/>
                    </w:rPr>
                    <w:t>2</w:t>
                  </w:r>
                </w:p>
              </w:tc>
              <w:tc>
                <w:tcPr>
                  <w:tcW w:w="7268" w:type="dxa"/>
                  <w:shd w:val="clear" w:color="auto" w:fill="auto"/>
                </w:tcPr>
                <w:p w14:paraId="3A143894" w14:textId="2A44D7E8" w:rsidR="00B122D1" w:rsidRPr="00665288" w:rsidRDefault="00B122D1" w:rsidP="00B122D1">
                  <w:pPr>
                    <w:rPr>
                      <w:b/>
                      <w:bCs/>
                    </w:rPr>
                  </w:pPr>
                  <w:r>
                    <w:rPr>
                      <w:b/>
                      <w:bCs/>
                    </w:rPr>
                    <w:t>Research meeting</w:t>
                  </w:r>
                </w:p>
              </w:tc>
              <w:tc>
                <w:tcPr>
                  <w:tcW w:w="839" w:type="dxa"/>
                  <w:vAlign w:val="center"/>
                </w:tcPr>
                <w:p w14:paraId="34CB5437" w14:textId="77777777" w:rsidR="00B122D1" w:rsidRDefault="00B122D1" w:rsidP="00B122D1">
                  <w:pPr>
                    <w:spacing w:before="100" w:beforeAutospacing="1" w:line="276" w:lineRule="auto"/>
                    <w:rPr>
                      <w:rFonts w:eastAsiaTheme="minorEastAsia"/>
                      <w:lang w:eastAsia="en-GB"/>
                    </w:rPr>
                  </w:pPr>
                </w:p>
              </w:tc>
            </w:tr>
            <w:tr w:rsidR="00B122D1" w:rsidRPr="00E7339A" w14:paraId="0CB0498C" w14:textId="77777777" w:rsidTr="00001CE0">
              <w:trPr>
                <w:trHeight w:val="157"/>
              </w:trPr>
              <w:tc>
                <w:tcPr>
                  <w:tcW w:w="907" w:type="dxa"/>
                </w:tcPr>
                <w:p w14:paraId="198FFA84" w14:textId="73A7B744" w:rsidR="00B122D1" w:rsidRDefault="00F57BC8" w:rsidP="00B122D1">
                  <w:pPr>
                    <w:spacing w:before="100" w:beforeAutospacing="1" w:line="276" w:lineRule="auto"/>
                    <w:rPr>
                      <w:rFonts w:eastAsiaTheme="minorEastAsia"/>
                      <w:lang w:eastAsia="en-GB"/>
                    </w:rPr>
                  </w:pPr>
                  <w:r>
                    <w:rPr>
                      <w:rFonts w:eastAsiaTheme="minorEastAsia"/>
                      <w:lang w:eastAsia="en-GB"/>
                    </w:rPr>
                    <w:t>8</w:t>
                  </w:r>
                  <w:r w:rsidR="00B122D1">
                    <w:rPr>
                      <w:rFonts w:eastAsiaTheme="minorEastAsia"/>
                      <w:lang w:eastAsia="en-GB"/>
                    </w:rPr>
                    <w:t>.3</w:t>
                  </w:r>
                </w:p>
              </w:tc>
              <w:tc>
                <w:tcPr>
                  <w:tcW w:w="7268" w:type="dxa"/>
                  <w:shd w:val="clear" w:color="auto" w:fill="auto"/>
                </w:tcPr>
                <w:p w14:paraId="10E45CD1" w14:textId="0F817ED6" w:rsidR="00B122D1" w:rsidRDefault="00B122D1" w:rsidP="00B122D1">
                  <w:r>
                    <w:t xml:space="preserve">The research meeting is intended to pick up relevant items that the Committee has not </w:t>
                  </w:r>
                  <w:r w:rsidR="00E73F8B">
                    <w:t>yet considered.</w:t>
                  </w:r>
                </w:p>
                <w:p w14:paraId="7791554A" w14:textId="3EB838B7" w:rsidR="00B122D1" w:rsidRDefault="00E73F8B" w:rsidP="00B122D1">
                  <w:r>
                    <w:t>R</w:t>
                  </w:r>
                  <w:r w:rsidR="00B122D1">
                    <w:t xml:space="preserve">eference had been made to the research with smaller charities. If there are further pieces of research the </w:t>
                  </w:r>
                  <w:r w:rsidR="007B0FEC">
                    <w:t>C</w:t>
                  </w:r>
                  <w:r w:rsidR="00B122D1">
                    <w:t>ommittee would be interested in discussing, then let C</w:t>
                  </w:r>
                  <w:r>
                    <w:t>I</w:t>
                  </w:r>
                  <w:r w:rsidR="00B122D1">
                    <w:t>PFA know, and the</w:t>
                  </w:r>
                  <w:r w:rsidR="007B0FEC">
                    <w:t>se items</w:t>
                  </w:r>
                  <w:r w:rsidR="00B122D1">
                    <w:t xml:space="preserve"> can be included on the agenda.</w:t>
                  </w:r>
                </w:p>
                <w:p w14:paraId="1779E727" w14:textId="5AE6A215" w:rsidR="00B122D1" w:rsidRDefault="00E73F8B" w:rsidP="00B122D1">
                  <w:r>
                    <w:t>It was noted that Pw</w:t>
                  </w:r>
                  <w:r w:rsidR="00B122D1">
                    <w:t xml:space="preserve">C presented sector research </w:t>
                  </w:r>
                  <w:r>
                    <w:t xml:space="preserve">at the first research meeting. The PwC research exercise </w:t>
                  </w:r>
                  <w:r w:rsidR="00B122D1">
                    <w:t xml:space="preserve">will be repeated </w:t>
                  </w:r>
                  <w:r w:rsidR="007B0FEC">
                    <w:t>soon,</w:t>
                  </w:r>
                  <w:r w:rsidR="00B122D1">
                    <w:t xml:space="preserve"> and </w:t>
                  </w:r>
                  <w:r>
                    <w:t>PwC</w:t>
                  </w:r>
                  <w:r w:rsidR="00B122D1">
                    <w:t xml:space="preserve"> </w:t>
                  </w:r>
                  <w:r>
                    <w:t xml:space="preserve">should be able </w:t>
                  </w:r>
                  <w:r w:rsidR="007B0FEC">
                    <w:t>to provide</w:t>
                  </w:r>
                  <w:r w:rsidR="00B122D1">
                    <w:t xml:space="preserve"> feedback from th</w:t>
                  </w:r>
                  <w:r>
                    <w:t>e new exercise</w:t>
                  </w:r>
                  <w:r w:rsidR="007B0FEC">
                    <w:t>.</w:t>
                  </w:r>
                </w:p>
                <w:p w14:paraId="646D5FF9" w14:textId="2E93D44F" w:rsidR="00B122D1" w:rsidRDefault="00E73F8B" w:rsidP="00B122D1">
                  <w:r>
                    <w:t>The Committee noted that t</w:t>
                  </w:r>
                  <w:r w:rsidR="00B122D1">
                    <w:t xml:space="preserve">he </w:t>
                  </w:r>
                  <w:r>
                    <w:t>s</w:t>
                  </w:r>
                  <w:r w:rsidR="00B122D1">
                    <w:t xml:space="preserve">mall charities research </w:t>
                  </w:r>
                  <w:r>
                    <w:t xml:space="preserve">project </w:t>
                  </w:r>
                  <w:r w:rsidR="00B122D1">
                    <w:t>had experienced an encouraging level of response.</w:t>
                  </w:r>
                </w:p>
                <w:p w14:paraId="7B29AE10" w14:textId="3BE2F0E1" w:rsidR="00B122D1" w:rsidRDefault="00E73F8B" w:rsidP="00B122D1">
                  <w:pPr>
                    <w:pStyle w:val="ListParagraph"/>
                    <w:numPr>
                      <w:ilvl w:val="0"/>
                      <w:numId w:val="31"/>
                    </w:numPr>
                  </w:pPr>
                  <w:r>
                    <w:t>r</w:t>
                  </w:r>
                  <w:r w:rsidR="00B122D1">
                    <w:t xml:space="preserve">esponses had been received from over </w:t>
                  </w:r>
                  <w:r w:rsidR="00150DBA">
                    <w:t>425</w:t>
                  </w:r>
                  <w:r w:rsidR="00B122D1">
                    <w:t xml:space="preserve"> charities.</w:t>
                  </w:r>
                </w:p>
                <w:p w14:paraId="0907A024" w14:textId="0C361794" w:rsidR="00B122D1" w:rsidRDefault="00B122D1" w:rsidP="00B122D1">
                  <w:pPr>
                    <w:pStyle w:val="ListParagraph"/>
                    <w:numPr>
                      <w:ilvl w:val="0"/>
                      <w:numId w:val="31"/>
                    </w:numPr>
                  </w:pPr>
                  <w:r>
                    <w:t>120 individual respondents</w:t>
                  </w:r>
                </w:p>
                <w:p w14:paraId="438A5A3E" w14:textId="7AE21951" w:rsidR="00BB71D9" w:rsidRDefault="00E73F8B" w:rsidP="00BB71D9">
                  <w:pPr>
                    <w:pStyle w:val="ListParagraph"/>
                    <w:numPr>
                      <w:ilvl w:val="0"/>
                      <w:numId w:val="31"/>
                    </w:numPr>
                  </w:pPr>
                  <w:r>
                    <w:t xml:space="preserve">more than </w:t>
                  </w:r>
                  <w:r w:rsidR="00B122D1">
                    <w:t>12,000 sets of accounts have been examined.</w:t>
                  </w:r>
                </w:p>
              </w:tc>
              <w:tc>
                <w:tcPr>
                  <w:tcW w:w="839" w:type="dxa"/>
                  <w:vAlign w:val="center"/>
                </w:tcPr>
                <w:p w14:paraId="2DB4D085" w14:textId="77777777" w:rsidR="00B122D1" w:rsidRDefault="00B122D1" w:rsidP="00B122D1">
                  <w:pPr>
                    <w:spacing w:before="100" w:beforeAutospacing="1" w:line="276" w:lineRule="auto"/>
                    <w:rPr>
                      <w:rFonts w:eastAsiaTheme="minorEastAsia"/>
                      <w:lang w:eastAsia="en-GB"/>
                    </w:rPr>
                  </w:pPr>
                </w:p>
              </w:tc>
            </w:tr>
            <w:tr w:rsidR="00B122D1" w:rsidRPr="00E7339A" w14:paraId="6A50D8E1" w14:textId="77777777" w:rsidTr="00001CE0">
              <w:trPr>
                <w:trHeight w:val="157"/>
              </w:trPr>
              <w:tc>
                <w:tcPr>
                  <w:tcW w:w="907" w:type="dxa"/>
                </w:tcPr>
                <w:p w14:paraId="146A457C" w14:textId="65E26B9D" w:rsidR="00B122D1" w:rsidRDefault="00BB71D9" w:rsidP="00B122D1">
                  <w:pPr>
                    <w:spacing w:before="100" w:beforeAutospacing="1" w:line="276" w:lineRule="auto"/>
                    <w:rPr>
                      <w:rFonts w:eastAsiaTheme="minorEastAsia"/>
                      <w:lang w:eastAsia="en-GB"/>
                    </w:rPr>
                  </w:pPr>
                  <w:r>
                    <w:rPr>
                      <w:rFonts w:eastAsiaTheme="minorEastAsia"/>
                      <w:lang w:eastAsia="en-GB"/>
                    </w:rPr>
                    <w:t>8</w:t>
                  </w:r>
                  <w:r w:rsidR="00B122D1">
                    <w:rPr>
                      <w:rFonts w:eastAsiaTheme="minorEastAsia"/>
                      <w:lang w:eastAsia="en-GB"/>
                    </w:rPr>
                    <w:t>.4</w:t>
                  </w:r>
                </w:p>
              </w:tc>
              <w:tc>
                <w:tcPr>
                  <w:tcW w:w="7268" w:type="dxa"/>
                  <w:shd w:val="clear" w:color="auto" w:fill="auto"/>
                </w:tcPr>
                <w:p w14:paraId="4BF8558D" w14:textId="5CE4D904" w:rsidR="00B122D1" w:rsidRDefault="00B122D1" w:rsidP="00B122D1">
                  <w:r>
                    <w:t>Responses on the consultation to changes to</w:t>
                  </w:r>
                  <w:r w:rsidR="00E73F8B">
                    <w:t xml:space="preserve"> corporate audit </w:t>
                  </w:r>
                  <w:proofErr w:type="spellStart"/>
                  <w:r w:rsidR="00E73F8B">
                    <w:t>ie</w:t>
                  </w:r>
                  <w:proofErr w:type="spellEnd"/>
                  <w:r w:rsidR="00E73F8B">
                    <w:t xml:space="preserve"> </w:t>
                  </w:r>
                  <w:hyperlink r:id="rId8" w:history="1">
                    <w:r w:rsidR="00E73F8B" w:rsidRPr="00E73F8B">
                      <w:rPr>
                        <w:rStyle w:val="Hyperlink"/>
                      </w:rPr>
                      <w:t>Restoring trust in audit and corporate governance: proposals on reforms</w:t>
                    </w:r>
                    <w:r w:rsidRPr="00E73F8B">
                      <w:rPr>
                        <w:rStyle w:val="Hyperlink"/>
                      </w:rPr>
                      <w:t xml:space="preserve"> the audit marketplace</w:t>
                    </w:r>
                  </w:hyperlink>
                  <w:r>
                    <w:t xml:space="preserve"> are due </w:t>
                  </w:r>
                  <w:r w:rsidR="007E2945">
                    <w:t>on 8 July 2021</w:t>
                  </w:r>
                  <w:r>
                    <w:t>. C</w:t>
                  </w:r>
                  <w:r w:rsidR="007E2945">
                    <w:t xml:space="preserve">harities Finance Group </w:t>
                  </w:r>
                  <w:r>
                    <w:t xml:space="preserve">will be sending a </w:t>
                  </w:r>
                  <w:r w:rsidR="00F57BC8">
                    <w:t>submission,</w:t>
                  </w:r>
                  <w:r>
                    <w:t xml:space="preserve"> and this will be shared with the Committee if the</w:t>
                  </w:r>
                  <w:r w:rsidR="007E2945">
                    <w:t xml:space="preserve"> members</w:t>
                  </w:r>
                  <w:r>
                    <w:t xml:space="preserve"> wish to look at it</w:t>
                  </w:r>
                  <w:r w:rsidR="007E2945">
                    <w:t>.</w:t>
                  </w:r>
                </w:p>
              </w:tc>
              <w:tc>
                <w:tcPr>
                  <w:tcW w:w="839" w:type="dxa"/>
                  <w:vAlign w:val="center"/>
                </w:tcPr>
                <w:p w14:paraId="10F6E236" w14:textId="77777777" w:rsidR="00B122D1" w:rsidRDefault="00B122D1" w:rsidP="00B122D1">
                  <w:pPr>
                    <w:spacing w:before="100" w:beforeAutospacing="1" w:line="276" w:lineRule="auto"/>
                    <w:rPr>
                      <w:rFonts w:eastAsiaTheme="minorEastAsia"/>
                      <w:lang w:eastAsia="en-GB"/>
                    </w:rPr>
                  </w:pPr>
                </w:p>
              </w:tc>
            </w:tr>
          </w:tbl>
          <w:p w14:paraId="7C0644B4" w14:textId="77777777" w:rsidR="00A17AF9" w:rsidRPr="008D38BF" w:rsidRDefault="00A17AF9" w:rsidP="000956EC">
            <w:pPr>
              <w:pStyle w:val="NoSpacing"/>
              <w:rPr>
                <w:b/>
                <w:bCs/>
              </w:rPr>
            </w:pPr>
          </w:p>
        </w:tc>
        <w:tc>
          <w:tcPr>
            <w:tcW w:w="222" w:type="dxa"/>
            <w:shd w:val="clear" w:color="auto" w:fill="auto"/>
          </w:tcPr>
          <w:p w14:paraId="1786983E" w14:textId="7472FFB9" w:rsidR="00A17AF9" w:rsidRPr="008D38BF" w:rsidRDefault="00A17AF9" w:rsidP="000956EC">
            <w:pPr>
              <w:pStyle w:val="NoSpacing"/>
              <w:rPr>
                <w:rStyle w:val="StyleBold"/>
              </w:rPr>
            </w:pPr>
          </w:p>
        </w:tc>
        <w:tc>
          <w:tcPr>
            <w:tcW w:w="222" w:type="dxa"/>
            <w:gridSpan w:val="2"/>
            <w:shd w:val="clear" w:color="auto" w:fill="auto"/>
          </w:tcPr>
          <w:p w14:paraId="218B36E7" w14:textId="7335A923" w:rsidR="00A17AF9" w:rsidRPr="008D38BF" w:rsidRDefault="00A17AF9" w:rsidP="000956EC">
            <w:pPr>
              <w:pStyle w:val="NoSpacing"/>
              <w:rPr>
                <w:rStyle w:val="StyleBold"/>
              </w:rPr>
            </w:pPr>
          </w:p>
        </w:tc>
      </w:tr>
    </w:tbl>
    <w:p w14:paraId="35994962" w14:textId="0C3198DE" w:rsidR="008122A9" w:rsidRPr="00BD6794" w:rsidRDefault="008122A9" w:rsidP="00BB71D9">
      <w:pPr>
        <w:rPr>
          <w:szCs w:val="20"/>
        </w:rPr>
      </w:pPr>
    </w:p>
    <w:sectPr w:rsidR="008122A9" w:rsidRPr="00BD6794" w:rsidSect="00ED284B">
      <w:pgSz w:w="11906" w:h="16838" w:code="9"/>
      <w:pgMar w:top="2835" w:right="1440" w:bottom="1440" w:left="1440" w:header="936" w:footer="81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F61A1F" w14:textId="77777777" w:rsidR="00E728F0" w:rsidRDefault="00E728F0">
      <w:r>
        <w:separator/>
      </w:r>
    </w:p>
    <w:p w14:paraId="43550721" w14:textId="77777777" w:rsidR="00E728F0" w:rsidRDefault="00E728F0"/>
    <w:p w14:paraId="2FFF5E2C" w14:textId="77777777" w:rsidR="00E728F0" w:rsidRDefault="00E728F0"/>
    <w:p w14:paraId="72CC8803" w14:textId="77777777" w:rsidR="00E728F0" w:rsidRPr="001E22CD" w:rsidRDefault="00E728F0">
      <w:pPr>
        <w:rPr>
          <w:sz w:val="19"/>
          <w:szCs w:val="19"/>
        </w:rPr>
      </w:pPr>
    </w:p>
  </w:endnote>
  <w:endnote w:type="continuationSeparator" w:id="0">
    <w:p w14:paraId="05F241B1" w14:textId="77777777" w:rsidR="00E728F0" w:rsidRDefault="00E728F0">
      <w:r>
        <w:continuationSeparator/>
      </w:r>
    </w:p>
    <w:p w14:paraId="39CECFCF" w14:textId="77777777" w:rsidR="00E728F0" w:rsidRDefault="00E728F0"/>
    <w:p w14:paraId="4E070DFE" w14:textId="77777777" w:rsidR="00E728F0" w:rsidRDefault="00E728F0"/>
    <w:p w14:paraId="7FB0A249" w14:textId="77777777" w:rsidR="00E728F0" w:rsidRPr="001E22CD" w:rsidRDefault="00E728F0">
      <w:pPr>
        <w:rPr>
          <w:sz w:val="19"/>
          <w:szCs w:val="19"/>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DIN-Regular">
    <w:altName w:val="Malgun Gothic"/>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CA266D" w14:textId="77777777" w:rsidR="00E728F0" w:rsidRDefault="00E728F0">
      <w:r>
        <w:separator/>
      </w:r>
    </w:p>
    <w:p w14:paraId="3D30F113" w14:textId="77777777" w:rsidR="00E728F0" w:rsidRDefault="00E728F0"/>
    <w:p w14:paraId="199D38B3" w14:textId="77777777" w:rsidR="00E728F0" w:rsidRDefault="00E728F0"/>
    <w:p w14:paraId="3F94F9DA" w14:textId="77777777" w:rsidR="00E728F0" w:rsidRPr="001E22CD" w:rsidRDefault="00E728F0">
      <w:pPr>
        <w:rPr>
          <w:sz w:val="19"/>
          <w:szCs w:val="19"/>
        </w:rPr>
      </w:pPr>
    </w:p>
  </w:footnote>
  <w:footnote w:type="continuationSeparator" w:id="0">
    <w:p w14:paraId="6BA07740" w14:textId="77777777" w:rsidR="00E728F0" w:rsidRDefault="00E728F0">
      <w:r>
        <w:continuationSeparator/>
      </w:r>
    </w:p>
    <w:p w14:paraId="060BB622" w14:textId="77777777" w:rsidR="00E728F0" w:rsidRDefault="00E728F0"/>
    <w:p w14:paraId="0A56EEC7" w14:textId="77777777" w:rsidR="00E728F0" w:rsidRDefault="00E728F0"/>
    <w:p w14:paraId="4412F327" w14:textId="77777777" w:rsidR="00E728F0" w:rsidRPr="001E22CD" w:rsidRDefault="00E728F0">
      <w:pPr>
        <w:rPr>
          <w:sz w:val="19"/>
          <w:szCs w:val="19"/>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41AD48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C062CD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BB4B6E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25ACF1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46E40D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1AA12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F662E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3C016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B8864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3C187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AE6059"/>
    <w:multiLevelType w:val="hybridMultilevel"/>
    <w:tmpl w:val="BD26D89C"/>
    <w:lvl w:ilvl="0" w:tplc="FFFFFFFF">
      <w:start w:val="1"/>
      <w:numFmt w:val="bullet"/>
      <w:lvlText w:val="•"/>
      <w:lvlJc w:val="left"/>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11" w15:restartNumberingAfterBreak="0">
    <w:nsid w:val="0DE42797"/>
    <w:multiLevelType w:val="hybridMultilevel"/>
    <w:tmpl w:val="EF88B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BF5254"/>
    <w:multiLevelType w:val="hybridMultilevel"/>
    <w:tmpl w:val="B25E6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EAF9D1"/>
    <w:multiLevelType w:val="hybridMultilevel"/>
    <w:tmpl w:val="564E740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49D0682"/>
    <w:multiLevelType w:val="hybridMultilevel"/>
    <w:tmpl w:val="91B43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CB40D6"/>
    <w:multiLevelType w:val="hybridMultilevel"/>
    <w:tmpl w:val="3622F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9B7442"/>
    <w:multiLevelType w:val="hybridMultilevel"/>
    <w:tmpl w:val="A0BCB4B4"/>
    <w:lvl w:ilvl="0" w:tplc="05A25FB0">
      <w:start w:val="1"/>
      <w:numFmt w:val="bullet"/>
      <w:pStyle w:val="StyleListParagraphVerdana10ptJustifiedAfter3pt1"/>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2AC340D"/>
    <w:multiLevelType w:val="hybridMultilevel"/>
    <w:tmpl w:val="127A1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936F2F"/>
    <w:multiLevelType w:val="hybridMultilevel"/>
    <w:tmpl w:val="3ED6FB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9DE8B68"/>
    <w:multiLevelType w:val="hybridMultilevel"/>
    <w:tmpl w:val="C7334E5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38D4691"/>
    <w:multiLevelType w:val="hybridMultilevel"/>
    <w:tmpl w:val="F46A2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233C13"/>
    <w:multiLevelType w:val="hybridMultilevel"/>
    <w:tmpl w:val="B3C8B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2508B9"/>
    <w:multiLevelType w:val="hybridMultilevel"/>
    <w:tmpl w:val="318A04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A2C4385"/>
    <w:multiLevelType w:val="hybridMultilevel"/>
    <w:tmpl w:val="E61EB050"/>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6A7B5F"/>
    <w:multiLevelType w:val="hybridMultilevel"/>
    <w:tmpl w:val="6AD84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813B5C"/>
    <w:multiLevelType w:val="hybridMultilevel"/>
    <w:tmpl w:val="D42E8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243D71"/>
    <w:multiLevelType w:val="hybridMultilevel"/>
    <w:tmpl w:val="CC3A6870"/>
    <w:lvl w:ilvl="0" w:tplc="077ED8E0">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4DB73CE"/>
    <w:multiLevelType w:val="hybridMultilevel"/>
    <w:tmpl w:val="6A72F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FC38CA"/>
    <w:multiLevelType w:val="hybridMultilevel"/>
    <w:tmpl w:val="A7EA6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9B49CE"/>
    <w:multiLevelType w:val="hybridMultilevel"/>
    <w:tmpl w:val="67CED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CC768B"/>
    <w:multiLevelType w:val="hybridMultilevel"/>
    <w:tmpl w:val="144E74E8"/>
    <w:lvl w:ilvl="0" w:tplc="3B2C58C6">
      <w:start w:val="1"/>
      <w:numFmt w:val="bullet"/>
      <w:pStyle w:val="StyleListParagraphVerdana"/>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16"/>
  </w:num>
  <w:num w:numId="13">
    <w:abstractNumId w:val="30"/>
  </w:num>
  <w:num w:numId="14">
    <w:abstractNumId w:val="27"/>
  </w:num>
  <w:num w:numId="15">
    <w:abstractNumId w:val="18"/>
  </w:num>
  <w:num w:numId="16">
    <w:abstractNumId w:val="15"/>
  </w:num>
  <w:num w:numId="17">
    <w:abstractNumId w:val="26"/>
  </w:num>
  <w:num w:numId="18">
    <w:abstractNumId w:val="26"/>
  </w:num>
  <w:num w:numId="19">
    <w:abstractNumId w:val="17"/>
  </w:num>
  <w:num w:numId="20">
    <w:abstractNumId w:val="20"/>
  </w:num>
  <w:num w:numId="21">
    <w:abstractNumId w:val="24"/>
  </w:num>
  <w:num w:numId="22">
    <w:abstractNumId w:val="28"/>
  </w:num>
  <w:num w:numId="23">
    <w:abstractNumId w:val="26"/>
  </w:num>
  <w:num w:numId="24">
    <w:abstractNumId w:val="26"/>
  </w:num>
  <w:num w:numId="25">
    <w:abstractNumId w:val="26"/>
  </w:num>
  <w:num w:numId="26">
    <w:abstractNumId w:val="26"/>
  </w:num>
  <w:num w:numId="27">
    <w:abstractNumId w:val="22"/>
  </w:num>
  <w:num w:numId="28">
    <w:abstractNumId w:val="11"/>
  </w:num>
  <w:num w:numId="29">
    <w:abstractNumId w:val="14"/>
  </w:num>
  <w:num w:numId="30">
    <w:abstractNumId w:val="25"/>
  </w:num>
  <w:num w:numId="31">
    <w:abstractNumId w:val="29"/>
  </w:num>
  <w:num w:numId="32">
    <w:abstractNumId w:val="13"/>
  </w:num>
  <w:num w:numId="33">
    <w:abstractNumId w:val="12"/>
  </w:num>
  <w:num w:numId="34">
    <w:abstractNumId w:val="19"/>
  </w:num>
  <w:num w:numId="35">
    <w:abstractNumId w:val="23"/>
  </w:num>
  <w:num w:numId="36">
    <w:abstractNumId w:val="10"/>
  </w:num>
  <w:num w:numId="37">
    <w:abstractNumId w:val="26"/>
  </w:num>
  <w:num w:numId="38">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isplayBackgroundShape/>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181"/>
  <w:drawingGridVerticalSpacing w:val="181"/>
  <w:displayHorizontalDrawingGridEvery w:val="2"/>
  <w:displayVerticalDrawingGridEvery w:val="2"/>
  <w:doNotUseMarginsForDrawingGridOrigin/>
  <w:drawingGridHorizontalOrigin w:val="1418"/>
  <w:drawingGridVerticalOrigin w:val="153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wNbI0Njc0NzIyMzRR0lEKTi0uzszPAykwqwUAkfaRNCwAAAA="/>
  </w:docVars>
  <w:rsids>
    <w:rsidRoot w:val="00E2228B"/>
    <w:rsid w:val="00001CE0"/>
    <w:rsid w:val="00002DCC"/>
    <w:rsid w:val="0000708B"/>
    <w:rsid w:val="00011978"/>
    <w:rsid w:val="00016606"/>
    <w:rsid w:val="0001706F"/>
    <w:rsid w:val="000200A3"/>
    <w:rsid w:val="000200BC"/>
    <w:rsid w:val="00021F62"/>
    <w:rsid w:val="00022541"/>
    <w:rsid w:val="0002352F"/>
    <w:rsid w:val="0002712D"/>
    <w:rsid w:val="00032326"/>
    <w:rsid w:val="00034959"/>
    <w:rsid w:val="000370C2"/>
    <w:rsid w:val="000409B1"/>
    <w:rsid w:val="00040CB6"/>
    <w:rsid w:val="000430F3"/>
    <w:rsid w:val="00043E22"/>
    <w:rsid w:val="00050E0E"/>
    <w:rsid w:val="00053ABC"/>
    <w:rsid w:val="000541C6"/>
    <w:rsid w:val="00057B71"/>
    <w:rsid w:val="000609C0"/>
    <w:rsid w:val="000618F6"/>
    <w:rsid w:val="00062C69"/>
    <w:rsid w:val="000701A9"/>
    <w:rsid w:val="0007275A"/>
    <w:rsid w:val="000740D4"/>
    <w:rsid w:val="0007458E"/>
    <w:rsid w:val="000745A5"/>
    <w:rsid w:val="00074C86"/>
    <w:rsid w:val="00082121"/>
    <w:rsid w:val="00085C89"/>
    <w:rsid w:val="0008637B"/>
    <w:rsid w:val="000956EC"/>
    <w:rsid w:val="000A0ACA"/>
    <w:rsid w:val="000A297E"/>
    <w:rsid w:val="000A2F3B"/>
    <w:rsid w:val="000A4EAC"/>
    <w:rsid w:val="000A514D"/>
    <w:rsid w:val="000A7A5F"/>
    <w:rsid w:val="000A7D25"/>
    <w:rsid w:val="000B097F"/>
    <w:rsid w:val="000B7839"/>
    <w:rsid w:val="000C0AE7"/>
    <w:rsid w:val="000C3834"/>
    <w:rsid w:val="000C3D28"/>
    <w:rsid w:val="000C3F0B"/>
    <w:rsid w:val="000C587D"/>
    <w:rsid w:val="000D197B"/>
    <w:rsid w:val="000D359B"/>
    <w:rsid w:val="000D7DC6"/>
    <w:rsid w:val="000E0D4B"/>
    <w:rsid w:val="000E4541"/>
    <w:rsid w:val="000E461B"/>
    <w:rsid w:val="000F3224"/>
    <w:rsid w:val="000F4137"/>
    <w:rsid w:val="000F4A46"/>
    <w:rsid w:val="000F4ED8"/>
    <w:rsid w:val="000F54F2"/>
    <w:rsid w:val="000F6A06"/>
    <w:rsid w:val="000F748F"/>
    <w:rsid w:val="00103149"/>
    <w:rsid w:val="001079B8"/>
    <w:rsid w:val="00115463"/>
    <w:rsid w:val="001174EE"/>
    <w:rsid w:val="00121A91"/>
    <w:rsid w:val="00123958"/>
    <w:rsid w:val="001305C7"/>
    <w:rsid w:val="00133A07"/>
    <w:rsid w:val="0013601D"/>
    <w:rsid w:val="001421B9"/>
    <w:rsid w:val="001425BF"/>
    <w:rsid w:val="001431DA"/>
    <w:rsid w:val="0014548F"/>
    <w:rsid w:val="00146561"/>
    <w:rsid w:val="001478E0"/>
    <w:rsid w:val="0014792B"/>
    <w:rsid w:val="00150DBA"/>
    <w:rsid w:val="00156C90"/>
    <w:rsid w:val="0015751B"/>
    <w:rsid w:val="001676D8"/>
    <w:rsid w:val="00167A89"/>
    <w:rsid w:val="00167E8C"/>
    <w:rsid w:val="00167F7C"/>
    <w:rsid w:val="001726C7"/>
    <w:rsid w:val="001756C3"/>
    <w:rsid w:val="00175882"/>
    <w:rsid w:val="00177AFE"/>
    <w:rsid w:val="00180590"/>
    <w:rsid w:val="0018200C"/>
    <w:rsid w:val="001826FF"/>
    <w:rsid w:val="001866F0"/>
    <w:rsid w:val="0019681B"/>
    <w:rsid w:val="001A2DDB"/>
    <w:rsid w:val="001A3B47"/>
    <w:rsid w:val="001A4178"/>
    <w:rsid w:val="001B0D47"/>
    <w:rsid w:val="001B707D"/>
    <w:rsid w:val="001B7774"/>
    <w:rsid w:val="001B78D9"/>
    <w:rsid w:val="001C1D2C"/>
    <w:rsid w:val="001C581F"/>
    <w:rsid w:val="001D0459"/>
    <w:rsid w:val="001D381A"/>
    <w:rsid w:val="001D4DA7"/>
    <w:rsid w:val="001D57A3"/>
    <w:rsid w:val="001D6C09"/>
    <w:rsid w:val="001E22CD"/>
    <w:rsid w:val="001E3385"/>
    <w:rsid w:val="001E3CD3"/>
    <w:rsid w:val="001E5304"/>
    <w:rsid w:val="001E772B"/>
    <w:rsid w:val="001F0C5F"/>
    <w:rsid w:val="001F2624"/>
    <w:rsid w:val="001F7204"/>
    <w:rsid w:val="00201B7A"/>
    <w:rsid w:val="002077A4"/>
    <w:rsid w:val="00211C80"/>
    <w:rsid w:val="00223AED"/>
    <w:rsid w:val="00226848"/>
    <w:rsid w:val="00226D4D"/>
    <w:rsid w:val="00227F19"/>
    <w:rsid w:val="002433AB"/>
    <w:rsid w:val="002442BD"/>
    <w:rsid w:val="00246DAA"/>
    <w:rsid w:val="00257D23"/>
    <w:rsid w:val="00261FFA"/>
    <w:rsid w:val="0026310B"/>
    <w:rsid w:val="00264A2B"/>
    <w:rsid w:val="00266D2B"/>
    <w:rsid w:val="00267343"/>
    <w:rsid w:val="00271481"/>
    <w:rsid w:val="00274253"/>
    <w:rsid w:val="002749DA"/>
    <w:rsid w:val="0027660D"/>
    <w:rsid w:val="002849F6"/>
    <w:rsid w:val="00286A4F"/>
    <w:rsid w:val="002903F5"/>
    <w:rsid w:val="00291768"/>
    <w:rsid w:val="00294FAA"/>
    <w:rsid w:val="00297383"/>
    <w:rsid w:val="002A4991"/>
    <w:rsid w:val="002B0250"/>
    <w:rsid w:val="002B31C3"/>
    <w:rsid w:val="002B360D"/>
    <w:rsid w:val="002B57F9"/>
    <w:rsid w:val="002D15C9"/>
    <w:rsid w:val="002D37A0"/>
    <w:rsid w:val="002D57E9"/>
    <w:rsid w:val="002D73BA"/>
    <w:rsid w:val="002D76AC"/>
    <w:rsid w:val="002E2333"/>
    <w:rsid w:val="002E38D4"/>
    <w:rsid w:val="002E3CFC"/>
    <w:rsid w:val="002E3F95"/>
    <w:rsid w:val="002E4029"/>
    <w:rsid w:val="002E4F38"/>
    <w:rsid w:val="002E6C51"/>
    <w:rsid w:val="002E6D49"/>
    <w:rsid w:val="002E7BB3"/>
    <w:rsid w:val="002F4B52"/>
    <w:rsid w:val="002F5709"/>
    <w:rsid w:val="0030128E"/>
    <w:rsid w:val="00302F07"/>
    <w:rsid w:val="003042A7"/>
    <w:rsid w:val="00305EE0"/>
    <w:rsid w:val="00311EAC"/>
    <w:rsid w:val="0031226D"/>
    <w:rsid w:val="0032126C"/>
    <w:rsid w:val="003219AB"/>
    <w:rsid w:val="003256B7"/>
    <w:rsid w:val="0032628D"/>
    <w:rsid w:val="00327B20"/>
    <w:rsid w:val="00330DFC"/>
    <w:rsid w:val="003355C9"/>
    <w:rsid w:val="003364F3"/>
    <w:rsid w:val="003368BB"/>
    <w:rsid w:val="00336934"/>
    <w:rsid w:val="003372FF"/>
    <w:rsid w:val="0034220A"/>
    <w:rsid w:val="0034222C"/>
    <w:rsid w:val="00346FD6"/>
    <w:rsid w:val="003525BA"/>
    <w:rsid w:val="003529F9"/>
    <w:rsid w:val="00357AFF"/>
    <w:rsid w:val="00362168"/>
    <w:rsid w:val="00365A13"/>
    <w:rsid w:val="00370C0E"/>
    <w:rsid w:val="00372DA9"/>
    <w:rsid w:val="0037310F"/>
    <w:rsid w:val="00376C95"/>
    <w:rsid w:val="003773C8"/>
    <w:rsid w:val="003831F3"/>
    <w:rsid w:val="00384E42"/>
    <w:rsid w:val="00387EC0"/>
    <w:rsid w:val="00394FAA"/>
    <w:rsid w:val="003A0DA0"/>
    <w:rsid w:val="003A483E"/>
    <w:rsid w:val="003A7A4A"/>
    <w:rsid w:val="003A7F92"/>
    <w:rsid w:val="003B06A0"/>
    <w:rsid w:val="003B25EA"/>
    <w:rsid w:val="003B7FD0"/>
    <w:rsid w:val="003C258D"/>
    <w:rsid w:val="003E1F0C"/>
    <w:rsid w:val="003E298F"/>
    <w:rsid w:val="003E5D98"/>
    <w:rsid w:val="003F154B"/>
    <w:rsid w:val="003F4AC2"/>
    <w:rsid w:val="003F7370"/>
    <w:rsid w:val="004016CD"/>
    <w:rsid w:val="00404ABF"/>
    <w:rsid w:val="00407520"/>
    <w:rsid w:val="00410EF3"/>
    <w:rsid w:val="0041208F"/>
    <w:rsid w:val="004128BF"/>
    <w:rsid w:val="004159C0"/>
    <w:rsid w:val="00416024"/>
    <w:rsid w:val="00420A6D"/>
    <w:rsid w:val="00421068"/>
    <w:rsid w:val="0042336A"/>
    <w:rsid w:val="00423E83"/>
    <w:rsid w:val="00426865"/>
    <w:rsid w:val="0043016F"/>
    <w:rsid w:val="00432B1D"/>
    <w:rsid w:val="004340AE"/>
    <w:rsid w:val="004377BA"/>
    <w:rsid w:val="00437A1B"/>
    <w:rsid w:val="00437DD6"/>
    <w:rsid w:val="0044020F"/>
    <w:rsid w:val="0044481D"/>
    <w:rsid w:val="00450509"/>
    <w:rsid w:val="00451B30"/>
    <w:rsid w:val="00451DD2"/>
    <w:rsid w:val="00454666"/>
    <w:rsid w:val="00457911"/>
    <w:rsid w:val="004651C2"/>
    <w:rsid w:val="00467B53"/>
    <w:rsid w:val="004756B1"/>
    <w:rsid w:val="00477D9B"/>
    <w:rsid w:val="00487557"/>
    <w:rsid w:val="00487BD1"/>
    <w:rsid w:val="00493E11"/>
    <w:rsid w:val="004950F0"/>
    <w:rsid w:val="0049779D"/>
    <w:rsid w:val="004A0A51"/>
    <w:rsid w:val="004A1793"/>
    <w:rsid w:val="004B28A7"/>
    <w:rsid w:val="004B39A7"/>
    <w:rsid w:val="004B5555"/>
    <w:rsid w:val="004C044E"/>
    <w:rsid w:val="004C0F8A"/>
    <w:rsid w:val="004C1A60"/>
    <w:rsid w:val="004D171F"/>
    <w:rsid w:val="004D34F7"/>
    <w:rsid w:val="004D56D8"/>
    <w:rsid w:val="004D7B9F"/>
    <w:rsid w:val="004E3422"/>
    <w:rsid w:val="004E6E00"/>
    <w:rsid w:val="004F00BE"/>
    <w:rsid w:val="004F401D"/>
    <w:rsid w:val="004F7053"/>
    <w:rsid w:val="0050021A"/>
    <w:rsid w:val="00510B89"/>
    <w:rsid w:val="00513320"/>
    <w:rsid w:val="00513374"/>
    <w:rsid w:val="005179C9"/>
    <w:rsid w:val="00522E6B"/>
    <w:rsid w:val="00531976"/>
    <w:rsid w:val="00533A65"/>
    <w:rsid w:val="00541B66"/>
    <w:rsid w:val="0055101F"/>
    <w:rsid w:val="00551705"/>
    <w:rsid w:val="00554531"/>
    <w:rsid w:val="005600B2"/>
    <w:rsid w:val="00572ABC"/>
    <w:rsid w:val="00576BA4"/>
    <w:rsid w:val="0058060E"/>
    <w:rsid w:val="005812C6"/>
    <w:rsid w:val="005901B2"/>
    <w:rsid w:val="00590B68"/>
    <w:rsid w:val="00590F0C"/>
    <w:rsid w:val="00593157"/>
    <w:rsid w:val="005960F6"/>
    <w:rsid w:val="00597853"/>
    <w:rsid w:val="005B01D7"/>
    <w:rsid w:val="005B5157"/>
    <w:rsid w:val="005C13D4"/>
    <w:rsid w:val="005C3201"/>
    <w:rsid w:val="005C3389"/>
    <w:rsid w:val="005C4E90"/>
    <w:rsid w:val="005C5193"/>
    <w:rsid w:val="005C671F"/>
    <w:rsid w:val="005C7F20"/>
    <w:rsid w:val="005D466D"/>
    <w:rsid w:val="005E1DB2"/>
    <w:rsid w:val="005E360F"/>
    <w:rsid w:val="005E77D4"/>
    <w:rsid w:val="005F00C3"/>
    <w:rsid w:val="005F0445"/>
    <w:rsid w:val="005F0912"/>
    <w:rsid w:val="005F1BC2"/>
    <w:rsid w:val="005F2C5E"/>
    <w:rsid w:val="005F2CD8"/>
    <w:rsid w:val="005F6C82"/>
    <w:rsid w:val="00602C7B"/>
    <w:rsid w:val="006063E3"/>
    <w:rsid w:val="00613636"/>
    <w:rsid w:val="00620218"/>
    <w:rsid w:val="006204BE"/>
    <w:rsid w:val="006209E8"/>
    <w:rsid w:val="00620E51"/>
    <w:rsid w:val="0062425E"/>
    <w:rsid w:val="00630AE7"/>
    <w:rsid w:val="00632197"/>
    <w:rsid w:val="00636D29"/>
    <w:rsid w:val="00646533"/>
    <w:rsid w:val="00646DD9"/>
    <w:rsid w:val="00650DFF"/>
    <w:rsid w:val="00652AEE"/>
    <w:rsid w:val="006547C0"/>
    <w:rsid w:val="00654D23"/>
    <w:rsid w:val="006551FA"/>
    <w:rsid w:val="00656507"/>
    <w:rsid w:val="006569BC"/>
    <w:rsid w:val="006609C0"/>
    <w:rsid w:val="00661C9A"/>
    <w:rsid w:val="00661D59"/>
    <w:rsid w:val="00661E97"/>
    <w:rsid w:val="00662371"/>
    <w:rsid w:val="00665288"/>
    <w:rsid w:val="00667AED"/>
    <w:rsid w:val="00675498"/>
    <w:rsid w:val="0067725B"/>
    <w:rsid w:val="00683CD9"/>
    <w:rsid w:val="00685732"/>
    <w:rsid w:val="006861C8"/>
    <w:rsid w:val="0068754B"/>
    <w:rsid w:val="00691E87"/>
    <w:rsid w:val="006977E5"/>
    <w:rsid w:val="006B126F"/>
    <w:rsid w:val="006B2A43"/>
    <w:rsid w:val="006B6DA2"/>
    <w:rsid w:val="006B7ECA"/>
    <w:rsid w:val="006B7FF6"/>
    <w:rsid w:val="006C19D9"/>
    <w:rsid w:val="006C25AD"/>
    <w:rsid w:val="006C3C5B"/>
    <w:rsid w:val="006E329C"/>
    <w:rsid w:val="006F372B"/>
    <w:rsid w:val="006F3A6C"/>
    <w:rsid w:val="006F4A9F"/>
    <w:rsid w:val="0070006D"/>
    <w:rsid w:val="00701792"/>
    <w:rsid w:val="00703929"/>
    <w:rsid w:val="00711938"/>
    <w:rsid w:val="007139F3"/>
    <w:rsid w:val="00716041"/>
    <w:rsid w:val="007167C3"/>
    <w:rsid w:val="0071792C"/>
    <w:rsid w:val="007208A2"/>
    <w:rsid w:val="00722973"/>
    <w:rsid w:val="00722D75"/>
    <w:rsid w:val="007277E0"/>
    <w:rsid w:val="00731C58"/>
    <w:rsid w:val="00737A43"/>
    <w:rsid w:val="00746C46"/>
    <w:rsid w:val="00746F00"/>
    <w:rsid w:val="00747D56"/>
    <w:rsid w:val="00750B01"/>
    <w:rsid w:val="00752FF8"/>
    <w:rsid w:val="00754A89"/>
    <w:rsid w:val="00756169"/>
    <w:rsid w:val="00765B23"/>
    <w:rsid w:val="007676DC"/>
    <w:rsid w:val="00771C1C"/>
    <w:rsid w:val="00773311"/>
    <w:rsid w:val="00777C08"/>
    <w:rsid w:val="007810D6"/>
    <w:rsid w:val="00782933"/>
    <w:rsid w:val="00783951"/>
    <w:rsid w:val="00784737"/>
    <w:rsid w:val="00793A47"/>
    <w:rsid w:val="007A2CAF"/>
    <w:rsid w:val="007A3110"/>
    <w:rsid w:val="007A553C"/>
    <w:rsid w:val="007B0FEC"/>
    <w:rsid w:val="007B12FB"/>
    <w:rsid w:val="007B42F1"/>
    <w:rsid w:val="007B7B6A"/>
    <w:rsid w:val="007B7D02"/>
    <w:rsid w:val="007C48C4"/>
    <w:rsid w:val="007C51D4"/>
    <w:rsid w:val="007D5B85"/>
    <w:rsid w:val="007E2945"/>
    <w:rsid w:val="007E4E33"/>
    <w:rsid w:val="007E510E"/>
    <w:rsid w:val="007F2D33"/>
    <w:rsid w:val="007F48DA"/>
    <w:rsid w:val="007F4AD9"/>
    <w:rsid w:val="007F585B"/>
    <w:rsid w:val="007F7385"/>
    <w:rsid w:val="007F7B28"/>
    <w:rsid w:val="008105AB"/>
    <w:rsid w:val="00810B1B"/>
    <w:rsid w:val="008122A9"/>
    <w:rsid w:val="00816656"/>
    <w:rsid w:val="00817A93"/>
    <w:rsid w:val="008307D8"/>
    <w:rsid w:val="00831DAB"/>
    <w:rsid w:val="0083231F"/>
    <w:rsid w:val="0083432F"/>
    <w:rsid w:val="00836B2D"/>
    <w:rsid w:val="00840A11"/>
    <w:rsid w:val="00842F9A"/>
    <w:rsid w:val="0084587B"/>
    <w:rsid w:val="00846CB3"/>
    <w:rsid w:val="00847732"/>
    <w:rsid w:val="0085398D"/>
    <w:rsid w:val="008551B6"/>
    <w:rsid w:val="0085573E"/>
    <w:rsid w:val="00866DBE"/>
    <w:rsid w:val="00871D24"/>
    <w:rsid w:val="00872167"/>
    <w:rsid w:val="00875768"/>
    <w:rsid w:val="008778C4"/>
    <w:rsid w:val="008803A1"/>
    <w:rsid w:val="00883367"/>
    <w:rsid w:val="008834B5"/>
    <w:rsid w:val="00890246"/>
    <w:rsid w:val="0089221C"/>
    <w:rsid w:val="008969A8"/>
    <w:rsid w:val="00896B27"/>
    <w:rsid w:val="00896CE0"/>
    <w:rsid w:val="008A6749"/>
    <w:rsid w:val="008A6A22"/>
    <w:rsid w:val="008A6B0F"/>
    <w:rsid w:val="008A6C78"/>
    <w:rsid w:val="008B098A"/>
    <w:rsid w:val="008B4B28"/>
    <w:rsid w:val="008B57BF"/>
    <w:rsid w:val="008B7097"/>
    <w:rsid w:val="008B79BC"/>
    <w:rsid w:val="008C0287"/>
    <w:rsid w:val="008C0A6D"/>
    <w:rsid w:val="008C19AD"/>
    <w:rsid w:val="008C50FB"/>
    <w:rsid w:val="008C7946"/>
    <w:rsid w:val="008D1494"/>
    <w:rsid w:val="008D38BF"/>
    <w:rsid w:val="008D3C66"/>
    <w:rsid w:val="008E4505"/>
    <w:rsid w:val="008E6A96"/>
    <w:rsid w:val="008E73BE"/>
    <w:rsid w:val="008E78F1"/>
    <w:rsid w:val="008F07D3"/>
    <w:rsid w:val="008F29C0"/>
    <w:rsid w:val="008F42D6"/>
    <w:rsid w:val="00904969"/>
    <w:rsid w:val="0090717B"/>
    <w:rsid w:val="009121A7"/>
    <w:rsid w:val="00916321"/>
    <w:rsid w:val="009270C3"/>
    <w:rsid w:val="00930597"/>
    <w:rsid w:val="0093088A"/>
    <w:rsid w:val="00930B6D"/>
    <w:rsid w:val="00932E5A"/>
    <w:rsid w:val="0093513E"/>
    <w:rsid w:val="00935394"/>
    <w:rsid w:val="009370F8"/>
    <w:rsid w:val="0093760F"/>
    <w:rsid w:val="00940708"/>
    <w:rsid w:val="0094254F"/>
    <w:rsid w:val="009425C3"/>
    <w:rsid w:val="00946C26"/>
    <w:rsid w:val="0095367C"/>
    <w:rsid w:val="00953775"/>
    <w:rsid w:val="00953B31"/>
    <w:rsid w:val="00954452"/>
    <w:rsid w:val="00956A18"/>
    <w:rsid w:val="009602FF"/>
    <w:rsid w:val="009616D8"/>
    <w:rsid w:val="009627DD"/>
    <w:rsid w:val="00964D8E"/>
    <w:rsid w:val="009667A5"/>
    <w:rsid w:val="009672F0"/>
    <w:rsid w:val="0097076F"/>
    <w:rsid w:val="00981235"/>
    <w:rsid w:val="00983F7D"/>
    <w:rsid w:val="00987734"/>
    <w:rsid w:val="009A01B5"/>
    <w:rsid w:val="009A2BCF"/>
    <w:rsid w:val="009A2BEE"/>
    <w:rsid w:val="009A4341"/>
    <w:rsid w:val="009A7B48"/>
    <w:rsid w:val="009B4089"/>
    <w:rsid w:val="009B48B3"/>
    <w:rsid w:val="009B4A17"/>
    <w:rsid w:val="009B57F9"/>
    <w:rsid w:val="009C0069"/>
    <w:rsid w:val="009C120D"/>
    <w:rsid w:val="009C1775"/>
    <w:rsid w:val="009C4B52"/>
    <w:rsid w:val="009C55A0"/>
    <w:rsid w:val="009C620E"/>
    <w:rsid w:val="009D2CDF"/>
    <w:rsid w:val="009D44AD"/>
    <w:rsid w:val="009E414E"/>
    <w:rsid w:val="009E7C0B"/>
    <w:rsid w:val="009F0381"/>
    <w:rsid w:val="009F283F"/>
    <w:rsid w:val="009F316A"/>
    <w:rsid w:val="009F35C4"/>
    <w:rsid w:val="009F7B3E"/>
    <w:rsid w:val="009F7EED"/>
    <w:rsid w:val="00A02727"/>
    <w:rsid w:val="00A052F8"/>
    <w:rsid w:val="00A06627"/>
    <w:rsid w:val="00A14E36"/>
    <w:rsid w:val="00A17AF9"/>
    <w:rsid w:val="00A20CD6"/>
    <w:rsid w:val="00A23DEF"/>
    <w:rsid w:val="00A24BCE"/>
    <w:rsid w:val="00A258B5"/>
    <w:rsid w:val="00A26B8A"/>
    <w:rsid w:val="00A30F09"/>
    <w:rsid w:val="00A320BD"/>
    <w:rsid w:val="00A323C8"/>
    <w:rsid w:val="00A3640A"/>
    <w:rsid w:val="00A44092"/>
    <w:rsid w:val="00A45F09"/>
    <w:rsid w:val="00A47370"/>
    <w:rsid w:val="00A50D22"/>
    <w:rsid w:val="00A5156A"/>
    <w:rsid w:val="00A52026"/>
    <w:rsid w:val="00A53DE8"/>
    <w:rsid w:val="00A60BFA"/>
    <w:rsid w:val="00A61211"/>
    <w:rsid w:val="00A63333"/>
    <w:rsid w:val="00A67552"/>
    <w:rsid w:val="00A73F05"/>
    <w:rsid w:val="00A74AB8"/>
    <w:rsid w:val="00A80CB5"/>
    <w:rsid w:val="00A80F87"/>
    <w:rsid w:val="00A8779B"/>
    <w:rsid w:val="00A917CB"/>
    <w:rsid w:val="00A93C45"/>
    <w:rsid w:val="00A93F56"/>
    <w:rsid w:val="00A9616D"/>
    <w:rsid w:val="00A96F49"/>
    <w:rsid w:val="00AB5B73"/>
    <w:rsid w:val="00AC5122"/>
    <w:rsid w:val="00AD0466"/>
    <w:rsid w:val="00AD2A92"/>
    <w:rsid w:val="00AE0178"/>
    <w:rsid w:val="00AE1E4A"/>
    <w:rsid w:val="00AE3F29"/>
    <w:rsid w:val="00AE65E0"/>
    <w:rsid w:val="00AF0C83"/>
    <w:rsid w:val="00AF194F"/>
    <w:rsid w:val="00AF29F1"/>
    <w:rsid w:val="00AF4E61"/>
    <w:rsid w:val="00B010E8"/>
    <w:rsid w:val="00B035E4"/>
    <w:rsid w:val="00B03B58"/>
    <w:rsid w:val="00B04651"/>
    <w:rsid w:val="00B1074D"/>
    <w:rsid w:val="00B122D1"/>
    <w:rsid w:val="00B12739"/>
    <w:rsid w:val="00B13D93"/>
    <w:rsid w:val="00B1760B"/>
    <w:rsid w:val="00B17F05"/>
    <w:rsid w:val="00B20612"/>
    <w:rsid w:val="00B216A6"/>
    <w:rsid w:val="00B22337"/>
    <w:rsid w:val="00B22697"/>
    <w:rsid w:val="00B2334B"/>
    <w:rsid w:val="00B23FFD"/>
    <w:rsid w:val="00B2612E"/>
    <w:rsid w:val="00B26D62"/>
    <w:rsid w:val="00B3100F"/>
    <w:rsid w:val="00B40632"/>
    <w:rsid w:val="00B41661"/>
    <w:rsid w:val="00B43135"/>
    <w:rsid w:val="00B432CF"/>
    <w:rsid w:val="00B4379F"/>
    <w:rsid w:val="00B43DBF"/>
    <w:rsid w:val="00B441C6"/>
    <w:rsid w:val="00B46A61"/>
    <w:rsid w:val="00B47601"/>
    <w:rsid w:val="00B47843"/>
    <w:rsid w:val="00B503B6"/>
    <w:rsid w:val="00B5626B"/>
    <w:rsid w:val="00B6404D"/>
    <w:rsid w:val="00B645AE"/>
    <w:rsid w:val="00B66B48"/>
    <w:rsid w:val="00B70154"/>
    <w:rsid w:val="00B70814"/>
    <w:rsid w:val="00B70816"/>
    <w:rsid w:val="00B71759"/>
    <w:rsid w:val="00B738D6"/>
    <w:rsid w:val="00B74800"/>
    <w:rsid w:val="00B758F6"/>
    <w:rsid w:val="00B75E7E"/>
    <w:rsid w:val="00B801BF"/>
    <w:rsid w:val="00B82F22"/>
    <w:rsid w:val="00B83177"/>
    <w:rsid w:val="00B83EAE"/>
    <w:rsid w:val="00B85F43"/>
    <w:rsid w:val="00B86D73"/>
    <w:rsid w:val="00B93FF6"/>
    <w:rsid w:val="00B95E37"/>
    <w:rsid w:val="00BB71D9"/>
    <w:rsid w:val="00BB7937"/>
    <w:rsid w:val="00BC18E5"/>
    <w:rsid w:val="00BC2227"/>
    <w:rsid w:val="00BC42EF"/>
    <w:rsid w:val="00BD1412"/>
    <w:rsid w:val="00BD591B"/>
    <w:rsid w:val="00BD6794"/>
    <w:rsid w:val="00BE0398"/>
    <w:rsid w:val="00BE326F"/>
    <w:rsid w:val="00BE394C"/>
    <w:rsid w:val="00BE67D1"/>
    <w:rsid w:val="00BE7BCD"/>
    <w:rsid w:val="00BF064F"/>
    <w:rsid w:val="00BF7F21"/>
    <w:rsid w:val="00C0335F"/>
    <w:rsid w:val="00C06E78"/>
    <w:rsid w:val="00C07062"/>
    <w:rsid w:val="00C071CA"/>
    <w:rsid w:val="00C16690"/>
    <w:rsid w:val="00C231C1"/>
    <w:rsid w:val="00C257CB"/>
    <w:rsid w:val="00C47DDC"/>
    <w:rsid w:val="00C55DB0"/>
    <w:rsid w:val="00C56A81"/>
    <w:rsid w:val="00C5775A"/>
    <w:rsid w:val="00C57790"/>
    <w:rsid w:val="00C5787C"/>
    <w:rsid w:val="00C60E6B"/>
    <w:rsid w:val="00C61499"/>
    <w:rsid w:val="00C622BA"/>
    <w:rsid w:val="00C665A7"/>
    <w:rsid w:val="00C70A93"/>
    <w:rsid w:val="00C7145D"/>
    <w:rsid w:val="00C71F5B"/>
    <w:rsid w:val="00C733D3"/>
    <w:rsid w:val="00C735B4"/>
    <w:rsid w:val="00C74A4E"/>
    <w:rsid w:val="00C81523"/>
    <w:rsid w:val="00C8525A"/>
    <w:rsid w:val="00C86725"/>
    <w:rsid w:val="00C86965"/>
    <w:rsid w:val="00CA7471"/>
    <w:rsid w:val="00CB21B8"/>
    <w:rsid w:val="00CB246B"/>
    <w:rsid w:val="00CB7785"/>
    <w:rsid w:val="00CC22B8"/>
    <w:rsid w:val="00CC4B5F"/>
    <w:rsid w:val="00CC5F03"/>
    <w:rsid w:val="00CC7FCC"/>
    <w:rsid w:val="00CD10A0"/>
    <w:rsid w:val="00CD48BB"/>
    <w:rsid w:val="00CD6376"/>
    <w:rsid w:val="00CE15F8"/>
    <w:rsid w:val="00CE36BB"/>
    <w:rsid w:val="00CE3ACD"/>
    <w:rsid w:val="00CE49A8"/>
    <w:rsid w:val="00CE4B19"/>
    <w:rsid w:val="00CE6B91"/>
    <w:rsid w:val="00CE6E19"/>
    <w:rsid w:val="00CE7873"/>
    <w:rsid w:val="00CF0FE4"/>
    <w:rsid w:val="00CF6DC7"/>
    <w:rsid w:val="00D04780"/>
    <w:rsid w:val="00D11C30"/>
    <w:rsid w:val="00D12D3B"/>
    <w:rsid w:val="00D141FA"/>
    <w:rsid w:val="00D17C32"/>
    <w:rsid w:val="00D248F0"/>
    <w:rsid w:val="00D25FCC"/>
    <w:rsid w:val="00D27C20"/>
    <w:rsid w:val="00D32F25"/>
    <w:rsid w:val="00D3385F"/>
    <w:rsid w:val="00D33A26"/>
    <w:rsid w:val="00D36302"/>
    <w:rsid w:val="00D42C0E"/>
    <w:rsid w:val="00D50E3C"/>
    <w:rsid w:val="00D55861"/>
    <w:rsid w:val="00D569EF"/>
    <w:rsid w:val="00D71EAF"/>
    <w:rsid w:val="00D74B1C"/>
    <w:rsid w:val="00D76DA3"/>
    <w:rsid w:val="00D80B18"/>
    <w:rsid w:val="00D853AC"/>
    <w:rsid w:val="00D90535"/>
    <w:rsid w:val="00D926A6"/>
    <w:rsid w:val="00DA2144"/>
    <w:rsid w:val="00DA35E3"/>
    <w:rsid w:val="00DA5927"/>
    <w:rsid w:val="00DA643A"/>
    <w:rsid w:val="00DB1612"/>
    <w:rsid w:val="00DB3701"/>
    <w:rsid w:val="00DB3841"/>
    <w:rsid w:val="00DB390B"/>
    <w:rsid w:val="00DB3E4B"/>
    <w:rsid w:val="00DB3E62"/>
    <w:rsid w:val="00DB4491"/>
    <w:rsid w:val="00DB5521"/>
    <w:rsid w:val="00DC06B8"/>
    <w:rsid w:val="00DC7654"/>
    <w:rsid w:val="00DD42E6"/>
    <w:rsid w:val="00DD6FE1"/>
    <w:rsid w:val="00DD7E70"/>
    <w:rsid w:val="00DE0D5F"/>
    <w:rsid w:val="00DE0E3F"/>
    <w:rsid w:val="00DE1F1E"/>
    <w:rsid w:val="00DE45A0"/>
    <w:rsid w:val="00DF1119"/>
    <w:rsid w:val="00DF460E"/>
    <w:rsid w:val="00E01650"/>
    <w:rsid w:val="00E02ADC"/>
    <w:rsid w:val="00E03575"/>
    <w:rsid w:val="00E03C2D"/>
    <w:rsid w:val="00E06722"/>
    <w:rsid w:val="00E068D3"/>
    <w:rsid w:val="00E154BC"/>
    <w:rsid w:val="00E16C2E"/>
    <w:rsid w:val="00E1708C"/>
    <w:rsid w:val="00E204C9"/>
    <w:rsid w:val="00E207FB"/>
    <w:rsid w:val="00E2184C"/>
    <w:rsid w:val="00E2228B"/>
    <w:rsid w:val="00E24892"/>
    <w:rsid w:val="00E26DE9"/>
    <w:rsid w:val="00E32B6C"/>
    <w:rsid w:val="00E3514D"/>
    <w:rsid w:val="00E4101A"/>
    <w:rsid w:val="00E42DAD"/>
    <w:rsid w:val="00E44824"/>
    <w:rsid w:val="00E44A20"/>
    <w:rsid w:val="00E4532E"/>
    <w:rsid w:val="00E5736F"/>
    <w:rsid w:val="00E6223A"/>
    <w:rsid w:val="00E63A14"/>
    <w:rsid w:val="00E6428A"/>
    <w:rsid w:val="00E66B17"/>
    <w:rsid w:val="00E67C25"/>
    <w:rsid w:val="00E70AED"/>
    <w:rsid w:val="00E718B7"/>
    <w:rsid w:val="00E728F0"/>
    <w:rsid w:val="00E72AC9"/>
    <w:rsid w:val="00E73F8B"/>
    <w:rsid w:val="00E75830"/>
    <w:rsid w:val="00E75E87"/>
    <w:rsid w:val="00E777AD"/>
    <w:rsid w:val="00E87BB8"/>
    <w:rsid w:val="00E93023"/>
    <w:rsid w:val="00E941C4"/>
    <w:rsid w:val="00E9715D"/>
    <w:rsid w:val="00EA2F52"/>
    <w:rsid w:val="00EA4E19"/>
    <w:rsid w:val="00EA5106"/>
    <w:rsid w:val="00EB226F"/>
    <w:rsid w:val="00EB45AA"/>
    <w:rsid w:val="00EB47B9"/>
    <w:rsid w:val="00EB593A"/>
    <w:rsid w:val="00EB632C"/>
    <w:rsid w:val="00EB7176"/>
    <w:rsid w:val="00EC0987"/>
    <w:rsid w:val="00EC4934"/>
    <w:rsid w:val="00EC6EE5"/>
    <w:rsid w:val="00ED1B0C"/>
    <w:rsid w:val="00ED2165"/>
    <w:rsid w:val="00ED243E"/>
    <w:rsid w:val="00ED284B"/>
    <w:rsid w:val="00ED37CB"/>
    <w:rsid w:val="00ED593E"/>
    <w:rsid w:val="00ED713A"/>
    <w:rsid w:val="00EE33A9"/>
    <w:rsid w:val="00EE7D33"/>
    <w:rsid w:val="00EF4C3C"/>
    <w:rsid w:val="00EF5152"/>
    <w:rsid w:val="00F00E57"/>
    <w:rsid w:val="00F11C09"/>
    <w:rsid w:val="00F16A5A"/>
    <w:rsid w:val="00F2303E"/>
    <w:rsid w:val="00F3454C"/>
    <w:rsid w:val="00F34915"/>
    <w:rsid w:val="00F34E7D"/>
    <w:rsid w:val="00F35633"/>
    <w:rsid w:val="00F37949"/>
    <w:rsid w:val="00F426D5"/>
    <w:rsid w:val="00F439E7"/>
    <w:rsid w:val="00F43D1A"/>
    <w:rsid w:val="00F5546F"/>
    <w:rsid w:val="00F565AF"/>
    <w:rsid w:val="00F57BC8"/>
    <w:rsid w:val="00F600EF"/>
    <w:rsid w:val="00F61AA3"/>
    <w:rsid w:val="00F61FF9"/>
    <w:rsid w:val="00F63266"/>
    <w:rsid w:val="00F64879"/>
    <w:rsid w:val="00F6647D"/>
    <w:rsid w:val="00F71408"/>
    <w:rsid w:val="00F71C16"/>
    <w:rsid w:val="00F71FA7"/>
    <w:rsid w:val="00F73F87"/>
    <w:rsid w:val="00F7776F"/>
    <w:rsid w:val="00F8019A"/>
    <w:rsid w:val="00F803D3"/>
    <w:rsid w:val="00F8257D"/>
    <w:rsid w:val="00F84A0C"/>
    <w:rsid w:val="00F84C84"/>
    <w:rsid w:val="00F84EB8"/>
    <w:rsid w:val="00F90B5E"/>
    <w:rsid w:val="00F951F5"/>
    <w:rsid w:val="00FA07FA"/>
    <w:rsid w:val="00FA3CF2"/>
    <w:rsid w:val="00FA4A65"/>
    <w:rsid w:val="00FA5925"/>
    <w:rsid w:val="00FA5F94"/>
    <w:rsid w:val="00FB4323"/>
    <w:rsid w:val="00FB5935"/>
    <w:rsid w:val="00FB60DB"/>
    <w:rsid w:val="00FB7B5F"/>
    <w:rsid w:val="00FC22E0"/>
    <w:rsid w:val="00FC4C43"/>
    <w:rsid w:val="00FC614F"/>
    <w:rsid w:val="00FC6171"/>
    <w:rsid w:val="00FC6BAF"/>
    <w:rsid w:val="00FD386B"/>
    <w:rsid w:val="00FE39CC"/>
    <w:rsid w:val="00FE4FFF"/>
    <w:rsid w:val="00FF093C"/>
    <w:rsid w:val="00FF0A25"/>
    <w:rsid w:val="00FF1975"/>
    <w:rsid w:val="00FF3A2D"/>
    <w:rsid w:val="00FF448B"/>
    <w:rsid w:val="00FF4A8B"/>
    <w:rsid w:val="00FF5D1F"/>
    <w:rsid w:val="00FF7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27E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2227"/>
    <w:pPr>
      <w:spacing w:after="120"/>
    </w:pPr>
    <w:rPr>
      <w:rFonts w:ascii="Arial" w:hAnsi="Arial"/>
      <w:szCs w:val="24"/>
      <w:lang w:eastAsia="en-US"/>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qFormat/>
    <w:pPr>
      <w:keepNext/>
      <w:spacing w:before="240" w:after="60"/>
      <w:outlineLvl w:val="2"/>
    </w:pPr>
    <w:rPr>
      <w:rFonts w:cs="Arial"/>
      <w:b/>
      <w:bCs/>
      <w:sz w:val="26"/>
      <w:szCs w:val="26"/>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rFonts w:ascii="Times New Roman" w:hAnsi="Times New Roman"/>
      <w:b/>
      <w:bCs/>
      <w:szCs w:val="22"/>
    </w:rPr>
  </w:style>
  <w:style w:type="paragraph" w:styleId="Heading7">
    <w:name w:val="heading 7"/>
    <w:basedOn w:val="Normal"/>
    <w:next w:val="Normal"/>
    <w:qFormat/>
    <w:pPr>
      <w:spacing w:before="240" w:after="60"/>
      <w:outlineLvl w:val="6"/>
    </w:pPr>
    <w:rPr>
      <w:rFonts w:ascii="Times New Roman" w:hAnsi="Times New Roman"/>
      <w:sz w:val="24"/>
    </w:rPr>
  </w:style>
  <w:style w:type="paragraph" w:styleId="Heading8">
    <w:name w:val="heading 8"/>
    <w:basedOn w:val="Normal"/>
    <w:next w:val="Normal"/>
    <w:qFormat/>
    <w:pPr>
      <w:spacing w:before="240" w:after="60"/>
      <w:outlineLvl w:val="7"/>
    </w:pPr>
    <w:rPr>
      <w:rFonts w:ascii="Times New Roman" w:hAnsi="Times New Roman"/>
      <w:i/>
      <w:iCs/>
      <w:sz w:val="24"/>
    </w:rPr>
  </w:style>
  <w:style w:type="paragraph" w:styleId="Heading9">
    <w:name w:val="heading 9"/>
    <w:basedOn w:val="Normal"/>
    <w:next w:val="Normal"/>
    <w:qFormat/>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D593E"/>
    <w:pPr>
      <w:tabs>
        <w:tab w:val="center" w:pos="4153"/>
        <w:tab w:val="right" w:pos="8306"/>
      </w:tabs>
    </w:pPr>
  </w:style>
  <w:style w:type="paragraph" w:styleId="Footer">
    <w:name w:val="footer"/>
    <w:aliases w:val="f"/>
    <w:basedOn w:val="Normal"/>
    <w:link w:val="FooterChar"/>
    <w:uiPriority w:val="99"/>
    <w:rsid w:val="00ED593E"/>
    <w:pPr>
      <w:tabs>
        <w:tab w:val="center" w:pos="4153"/>
        <w:tab w:val="right" w:pos="8306"/>
      </w:tabs>
    </w:pPr>
  </w:style>
  <w:style w:type="paragraph" w:styleId="BlockText">
    <w:name w:val="Block Text"/>
    <w:basedOn w:val="Normal"/>
    <w:pPr>
      <w:ind w:left="1440" w:right="1440"/>
    </w:pPr>
  </w:style>
  <w:style w:type="paragraph" w:styleId="BodyText">
    <w:name w:val="Body Text"/>
    <w:basedOn w:val="Normal"/>
    <w:rsid w:val="00286A4F"/>
  </w:style>
  <w:style w:type="paragraph" w:styleId="BodyText2">
    <w:name w:val="Body Text 2"/>
    <w:basedOn w:val="Normal"/>
    <w:pPr>
      <w:spacing w:line="480" w:lineRule="auto"/>
    </w:pPr>
  </w:style>
  <w:style w:type="paragraph" w:styleId="BodyText3">
    <w:name w:val="Body Text 3"/>
    <w:basedOn w:val="Normal"/>
    <w:rPr>
      <w:sz w:val="16"/>
      <w:szCs w:val="16"/>
    </w:rPr>
  </w:style>
  <w:style w:type="paragraph" w:styleId="BodyTextFirstIndent">
    <w:name w:val="Body Text First Indent"/>
    <w:basedOn w:val="BodyText"/>
    <w:pPr>
      <w:ind w:firstLine="210"/>
    </w:pPr>
  </w:style>
  <w:style w:type="paragraph" w:styleId="BodyTextIndent">
    <w:name w:val="Body Text Indent"/>
    <w:basedOn w:val="Normal"/>
    <w:pPr>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line="480" w:lineRule="auto"/>
      <w:ind w:left="283"/>
    </w:pPr>
  </w:style>
  <w:style w:type="paragraph" w:styleId="BodyTextIndent3">
    <w:name w:val="Body Text Indent 3"/>
    <w:basedOn w:val="Normal"/>
    <w:pPr>
      <w:ind w:left="283"/>
    </w:pPr>
    <w:rPr>
      <w:sz w:val="16"/>
      <w:szCs w:val="16"/>
    </w:rPr>
  </w:style>
  <w:style w:type="paragraph" w:styleId="Caption">
    <w:name w:val="caption"/>
    <w:basedOn w:val="Normal"/>
    <w:next w:val="Normal"/>
    <w:qFormat/>
    <w:pPr>
      <w:spacing w:before="120"/>
    </w:pPr>
    <w:rPr>
      <w:b/>
      <w:bCs/>
      <w:szCs w:val="20"/>
    </w:rPr>
  </w:style>
  <w:style w:type="paragraph" w:styleId="Closing">
    <w:name w:val="Closing"/>
    <w:basedOn w:val="Normal"/>
    <w:pPr>
      <w:ind w:left="4252"/>
    </w:pPr>
  </w:style>
  <w:style w:type="paragraph" w:styleId="CommentText">
    <w:name w:val="annotation text"/>
    <w:basedOn w:val="Normal"/>
    <w:link w:val="CommentTextChar"/>
    <w:semiHidden/>
    <w:rPr>
      <w:szCs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rPr>
      <w:szCs w:val="20"/>
    </w:rPr>
  </w:style>
  <w:style w:type="paragraph" w:styleId="EnvelopeAddress">
    <w:name w:val="envelope address"/>
    <w:basedOn w:val="Normal"/>
    <w:pPr>
      <w:framePr w:w="7920" w:h="1980" w:hRule="exact" w:hSpace="180" w:wrap="auto" w:hAnchor="page" w:xAlign="center" w:yAlign="bottom"/>
      <w:ind w:left="2880"/>
    </w:pPr>
    <w:rPr>
      <w:rFonts w:cs="Arial"/>
      <w:sz w:val="24"/>
    </w:rPr>
  </w:style>
  <w:style w:type="paragraph" w:styleId="EnvelopeReturn">
    <w:name w:val="envelope return"/>
    <w:basedOn w:val="Normal"/>
    <w:rPr>
      <w:rFonts w:cs="Arial"/>
      <w:szCs w:val="20"/>
    </w:rPr>
  </w:style>
  <w:style w:type="paragraph" w:styleId="FootnoteText">
    <w:name w:val="footnote text"/>
    <w:basedOn w:val="Normal"/>
    <w:semiHidden/>
    <w:rPr>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Cs w:val="20"/>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rFonts w:cs="Arial"/>
      <w:b/>
      <w:bCs/>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283"/>
    </w:pPr>
  </w:style>
  <w:style w:type="paragraph" w:styleId="ListContinue2">
    <w:name w:val="List Continue 2"/>
    <w:basedOn w:val="Normal"/>
    <w:pPr>
      <w:ind w:left="566"/>
    </w:pPr>
  </w:style>
  <w:style w:type="paragraph" w:styleId="ListContinue3">
    <w:name w:val="List Continue 3"/>
    <w:basedOn w:val="Normal"/>
    <w:pPr>
      <w:ind w:left="849"/>
    </w:pPr>
  </w:style>
  <w:style w:type="paragraph" w:styleId="ListContinue4">
    <w:name w:val="List Continue 4"/>
    <w:basedOn w:val="Normal"/>
    <w:pPr>
      <w:ind w:left="1132"/>
    </w:pPr>
  </w:style>
  <w:style w:type="paragraph" w:styleId="ListContinue5">
    <w:name w:val="List Continue 5"/>
    <w:basedOn w:val="Normal"/>
    <w:pPr>
      <w:ind w:left="1415"/>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NormalWeb">
    <w:name w:val="Normal (Web)"/>
    <w:basedOn w:val="Normal"/>
    <w:uiPriority w:val="99"/>
    <w:rPr>
      <w:rFonts w:ascii="Times New Roman" w:hAnsi="Times New Roman"/>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cs="Arial"/>
      <w:sz w:val="24"/>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cs="Arial"/>
      <w:b/>
      <w:bCs/>
      <w:kern w:val="28"/>
      <w:sz w:val="32"/>
      <w:szCs w:val="32"/>
    </w:rPr>
  </w:style>
  <w:style w:type="paragraph" w:styleId="TOAHeading">
    <w:name w:val="toa heading"/>
    <w:basedOn w:val="Normal"/>
    <w:next w:val="Normal"/>
    <w:semiHidden/>
    <w:pPr>
      <w:spacing w:before="120"/>
    </w:pPr>
    <w:rPr>
      <w:rFonts w:cs="Arial"/>
      <w:b/>
      <w:bCs/>
      <w:sz w:val="24"/>
    </w:r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customStyle="1" w:styleId="Times">
    <w:name w:val="Times"/>
    <w:basedOn w:val="Normal"/>
    <w:pPr>
      <w:jc w:val="both"/>
    </w:pPr>
    <w:rPr>
      <w:rFonts w:ascii="Times" w:hAnsi="Times"/>
      <w:szCs w:val="20"/>
    </w:rPr>
  </w:style>
  <w:style w:type="character" w:styleId="PageNumber">
    <w:name w:val="page number"/>
    <w:basedOn w:val="DefaultParagraphFont"/>
  </w:style>
  <w:style w:type="paragraph" w:customStyle="1" w:styleId="1stIndent">
    <w:name w:val="1st Indent"/>
    <w:basedOn w:val="Normal"/>
    <w:rsid w:val="00B2334B"/>
    <w:pPr>
      <w:ind w:left="720" w:right="-360" w:hanging="720"/>
    </w:pPr>
  </w:style>
  <w:style w:type="paragraph" w:customStyle="1" w:styleId="2ndIndent">
    <w:name w:val="2nd Indent"/>
    <w:basedOn w:val="1stIndent"/>
    <w:rsid w:val="00B2334B"/>
    <w:pPr>
      <w:ind w:left="1440"/>
    </w:pPr>
  </w:style>
  <w:style w:type="paragraph" w:customStyle="1" w:styleId="3ndIndent">
    <w:name w:val="3nd Indent"/>
    <w:basedOn w:val="Normal"/>
    <w:rsid w:val="00B2334B"/>
    <w:pPr>
      <w:ind w:left="2160" w:right="-360" w:hanging="720"/>
    </w:pPr>
  </w:style>
  <w:style w:type="table" w:styleId="TableGrid">
    <w:name w:val="Table Grid"/>
    <w:basedOn w:val="TableNormal"/>
    <w:uiPriority w:val="59"/>
    <w:rsid w:val="007E51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284B"/>
    <w:pPr>
      <w:numPr>
        <w:numId w:val="11"/>
      </w:numPr>
    </w:pPr>
  </w:style>
  <w:style w:type="character" w:customStyle="1" w:styleId="s5">
    <w:name w:val="s5"/>
    <w:basedOn w:val="DefaultParagraphFont"/>
    <w:rsid w:val="00034959"/>
  </w:style>
  <w:style w:type="character" w:customStyle="1" w:styleId="FooterChar">
    <w:name w:val="Footer Char"/>
    <w:aliases w:val="f Char"/>
    <w:basedOn w:val="DefaultParagraphFont"/>
    <w:link w:val="Footer"/>
    <w:uiPriority w:val="99"/>
    <w:rsid w:val="0007458E"/>
    <w:rPr>
      <w:rFonts w:ascii="Verdana" w:hAnsi="Verdana"/>
      <w:szCs w:val="24"/>
      <w:lang w:eastAsia="en-US"/>
    </w:rPr>
  </w:style>
  <w:style w:type="character" w:styleId="Hyperlink">
    <w:name w:val="Hyperlink"/>
    <w:basedOn w:val="DefaultParagraphFont"/>
    <w:uiPriority w:val="99"/>
    <w:unhideWhenUsed/>
    <w:rsid w:val="00A17AF9"/>
    <w:rPr>
      <w:color w:val="5A4B9A" w:themeColor="accent1"/>
      <w:u w:val="single"/>
    </w:rPr>
  </w:style>
  <w:style w:type="character" w:customStyle="1" w:styleId="eop">
    <w:name w:val="eop"/>
    <w:basedOn w:val="DefaultParagraphFont"/>
    <w:rsid w:val="007A3110"/>
  </w:style>
  <w:style w:type="character" w:customStyle="1" w:styleId="Style24pt">
    <w:name w:val="Style 24 pt"/>
    <w:basedOn w:val="DefaultParagraphFont"/>
    <w:rsid w:val="00ED284B"/>
    <w:rPr>
      <w:rFonts w:ascii="Arial" w:hAnsi="Arial"/>
      <w:b/>
      <w:sz w:val="48"/>
    </w:rPr>
  </w:style>
  <w:style w:type="paragraph" w:customStyle="1" w:styleId="StyleListParagraphVerdana10ptJustifiedAfter3pt">
    <w:name w:val="Style List Paragraph + Verdana 10 pt Justified After:  3 pt"/>
    <w:basedOn w:val="ListParagraph"/>
    <w:rsid w:val="00ED284B"/>
    <w:pPr>
      <w:spacing w:after="60"/>
    </w:pPr>
    <w:rPr>
      <w:szCs w:val="20"/>
    </w:rPr>
  </w:style>
  <w:style w:type="paragraph" w:customStyle="1" w:styleId="StyleListParagraphVerdana10ptJustifiedAfter3pt1">
    <w:name w:val="Style List Paragraph + Verdana 10 pt Justified After:  3 pt1"/>
    <w:basedOn w:val="ListParagraph"/>
    <w:rsid w:val="00ED284B"/>
    <w:pPr>
      <w:numPr>
        <w:numId w:val="12"/>
      </w:numPr>
      <w:spacing w:after="60"/>
      <w:ind w:left="1434" w:hanging="357"/>
    </w:pPr>
    <w:rPr>
      <w:szCs w:val="20"/>
    </w:rPr>
  </w:style>
  <w:style w:type="paragraph" w:customStyle="1" w:styleId="StyleJustifiedAfter6pt">
    <w:name w:val="Style Justified After:  6 pt"/>
    <w:basedOn w:val="Normal"/>
    <w:rsid w:val="00ED284B"/>
    <w:rPr>
      <w:szCs w:val="20"/>
    </w:rPr>
  </w:style>
  <w:style w:type="paragraph" w:customStyle="1" w:styleId="StyleBoldJustifiedAfter6pt">
    <w:name w:val="Style Bold Justified After:  6 pt"/>
    <w:basedOn w:val="Normal"/>
    <w:rsid w:val="00ED284B"/>
    <w:rPr>
      <w:b/>
      <w:bCs/>
      <w:szCs w:val="20"/>
    </w:rPr>
  </w:style>
  <w:style w:type="paragraph" w:customStyle="1" w:styleId="StyleListParagraphVerdana">
    <w:name w:val="Style List Paragraph + Verdana"/>
    <w:basedOn w:val="ListParagraph"/>
    <w:rsid w:val="00ED284B"/>
    <w:pPr>
      <w:numPr>
        <w:numId w:val="13"/>
      </w:numPr>
    </w:pPr>
  </w:style>
  <w:style w:type="character" w:customStyle="1" w:styleId="StyleBold">
    <w:name w:val="Style Bold"/>
    <w:basedOn w:val="DefaultParagraphFont"/>
    <w:rsid w:val="00C5775A"/>
    <w:rPr>
      <w:rFonts w:asciiTheme="minorHAnsi" w:hAnsiTheme="minorHAnsi"/>
      <w:b/>
      <w:bCs/>
    </w:rPr>
  </w:style>
  <w:style w:type="character" w:customStyle="1" w:styleId="SmartLink1">
    <w:name w:val="SmartLink1"/>
    <w:basedOn w:val="DefaultParagraphFont"/>
    <w:uiPriority w:val="99"/>
    <w:semiHidden/>
    <w:unhideWhenUsed/>
    <w:rsid w:val="00A17AF9"/>
    <w:rPr>
      <w:color w:val="5A4B9A" w:themeColor="accent1"/>
      <w:u w:val="single"/>
      <w:shd w:val="clear" w:color="auto" w:fill="F3F2F1"/>
    </w:rPr>
  </w:style>
  <w:style w:type="character" w:customStyle="1" w:styleId="CommentTextChar">
    <w:name w:val="Comment Text Char"/>
    <w:basedOn w:val="DefaultParagraphFont"/>
    <w:link w:val="CommentText"/>
    <w:semiHidden/>
    <w:rsid w:val="00A17AF9"/>
    <w:rPr>
      <w:rFonts w:ascii="Arial" w:hAnsi="Arial"/>
      <w:lang w:eastAsia="en-US"/>
    </w:rPr>
  </w:style>
  <w:style w:type="paragraph" w:styleId="NoSpacing">
    <w:name w:val="No Spacing"/>
    <w:uiPriority w:val="1"/>
    <w:qFormat/>
    <w:rsid w:val="008D38BF"/>
    <w:pPr>
      <w:spacing w:line="276" w:lineRule="auto"/>
    </w:pPr>
    <w:rPr>
      <w:rFonts w:ascii="Arial" w:hAnsi="Arial"/>
      <w:szCs w:val="24"/>
      <w:lang w:eastAsia="en-US"/>
    </w:rPr>
  </w:style>
  <w:style w:type="table" w:customStyle="1" w:styleId="TableGrid1">
    <w:name w:val="Table Grid1"/>
    <w:basedOn w:val="TableNormal"/>
    <w:next w:val="TableGrid"/>
    <w:rsid w:val="001E22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70C0E"/>
    <w:rPr>
      <w:sz w:val="16"/>
      <w:szCs w:val="16"/>
    </w:rPr>
  </w:style>
  <w:style w:type="paragraph" w:styleId="CommentSubject">
    <w:name w:val="annotation subject"/>
    <w:basedOn w:val="CommentText"/>
    <w:next w:val="CommentText"/>
    <w:link w:val="CommentSubjectChar"/>
    <w:semiHidden/>
    <w:unhideWhenUsed/>
    <w:rsid w:val="00370C0E"/>
    <w:rPr>
      <w:b/>
      <w:bCs/>
    </w:rPr>
  </w:style>
  <w:style w:type="character" w:customStyle="1" w:styleId="CommentSubjectChar">
    <w:name w:val="Comment Subject Char"/>
    <w:basedOn w:val="CommentTextChar"/>
    <w:link w:val="CommentSubject"/>
    <w:semiHidden/>
    <w:rsid w:val="00370C0E"/>
    <w:rPr>
      <w:rFonts w:ascii="Arial" w:hAnsi="Arial"/>
      <w:b/>
      <w:bCs/>
      <w:lang w:eastAsia="en-US"/>
    </w:rPr>
  </w:style>
  <w:style w:type="paragraph" w:styleId="BalloonText">
    <w:name w:val="Balloon Text"/>
    <w:basedOn w:val="Normal"/>
    <w:link w:val="BalloonTextChar"/>
    <w:semiHidden/>
    <w:unhideWhenUsed/>
    <w:rsid w:val="007C51D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7C51D4"/>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6569BC"/>
    <w:rPr>
      <w:color w:val="605E5C"/>
      <w:shd w:val="clear" w:color="auto" w:fill="E1DFDD"/>
    </w:rPr>
  </w:style>
  <w:style w:type="paragraph" w:customStyle="1" w:styleId="Default">
    <w:name w:val="Default"/>
    <w:rsid w:val="004A179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322690">
      <w:bodyDiv w:val="1"/>
      <w:marLeft w:val="0"/>
      <w:marRight w:val="0"/>
      <w:marTop w:val="0"/>
      <w:marBottom w:val="0"/>
      <w:divBdr>
        <w:top w:val="none" w:sz="0" w:space="0" w:color="auto"/>
        <w:left w:val="none" w:sz="0" w:space="0" w:color="auto"/>
        <w:bottom w:val="none" w:sz="0" w:space="0" w:color="auto"/>
        <w:right w:val="none" w:sz="0" w:space="0" w:color="auto"/>
      </w:divBdr>
    </w:div>
    <w:div w:id="222184681">
      <w:bodyDiv w:val="1"/>
      <w:marLeft w:val="0"/>
      <w:marRight w:val="0"/>
      <w:marTop w:val="0"/>
      <w:marBottom w:val="0"/>
      <w:divBdr>
        <w:top w:val="none" w:sz="0" w:space="0" w:color="auto"/>
        <w:left w:val="none" w:sz="0" w:space="0" w:color="auto"/>
        <w:bottom w:val="none" w:sz="0" w:space="0" w:color="auto"/>
        <w:right w:val="none" w:sz="0" w:space="0" w:color="auto"/>
      </w:divBdr>
    </w:div>
    <w:div w:id="236670623">
      <w:bodyDiv w:val="1"/>
      <w:marLeft w:val="0"/>
      <w:marRight w:val="0"/>
      <w:marTop w:val="0"/>
      <w:marBottom w:val="0"/>
      <w:divBdr>
        <w:top w:val="none" w:sz="0" w:space="0" w:color="auto"/>
        <w:left w:val="none" w:sz="0" w:space="0" w:color="auto"/>
        <w:bottom w:val="none" w:sz="0" w:space="0" w:color="auto"/>
        <w:right w:val="none" w:sz="0" w:space="0" w:color="auto"/>
      </w:divBdr>
    </w:div>
    <w:div w:id="518855302">
      <w:bodyDiv w:val="1"/>
      <w:marLeft w:val="0"/>
      <w:marRight w:val="0"/>
      <w:marTop w:val="0"/>
      <w:marBottom w:val="0"/>
      <w:divBdr>
        <w:top w:val="none" w:sz="0" w:space="0" w:color="auto"/>
        <w:left w:val="none" w:sz="0" w:space="0" w:color="auto"/>
        <w:bottom w:val="none" w:sz="0" w:space="0" w:color="auto"/>
        <w:right w:val="none" w:sz="0" w:space="0" w:color="auto"/>
      </w:divBdr>
    </w:div>
    <w:div w:id="571353449">
      <w:bodyDiv w:val="1"/>
      <w:marLeft w:val="0"/>
      <w:marRight w:val="0"/>
      <w:marTop w:val="0"/>
      <w:marBottom w:val="0"/>
      <w:divBdr>
        <w:top w:val="none" w:sz="0" w:space="0" w:color="auto"/>
        <w:left w:val="none" w:sz="0" w:space="0" w:color="auto"/>
        <w:bottom w:val="none" w:sz="0" w:space="0" w:color="auto"/>
        <w:right w:val="none" w:sz="0" w:space="0" w:color="auto"/>
      </w:divBdr>
    </w:div>
    <w:div w:id="1213081848">
      <w:bodyDiv w:val="1"/>
      <w:marLeft w:val="0"/>
      <w:marRight w:val="0"/>
      <w:marTop w:val="0"/>
      <w:marBottom w:val="0"/>
      <w:divBdr>
        <w:top w:val="none" w:sz="0" w:space="0" w:color="auto"/>
        <w:left w:val="none" w:sz="0" w:space="0" w:color="auto"/>
        <w:bottom w:val="none" w:sz="0" w:space="0" w:color="auto"/>
        <w:right w:val="none" w:sz="0" w:space="0" w:color="auto"/>
      </w:divBdr>
    </w:div>
    <w:div w:id="2002856130">
      <w:bodyDiv w:val="1"/>
      <w:marLeft w:val="0"/>
      <w:marRight w:val="0"/>
      <w:marTop w:val="0"/>
      <w:marBottom w:val="0"/>
      <w:divBdr>
        <w:top w:val="none" w:sz="0" w:space="0" w:color="auto"/>
        <w:left w:val="none" w:sz="0" w:space="0" w:color="auto"/>
        <w:bottom w:val="none" w:sz="0" w:space="0" w:color="auto"/>
        <w:right w:val="none" w:sz="0" w:space="0" w:color="auto"/>
      </w:divBdr>
    </w:div>
    <w:div w:id="20236284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nsultations/restoring-trust-in-audit-and-corporate-governance-proposals-on-reform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IPFA">
  <a:themeElements>
    <a:clrScheme name="CIPFA colours">
      <a:dk1>
        <a:sysClr val="windowText" lastClr="000000"/>
      </a:dk1>
      <a:lt1>
        <a:sysClr val="window" lastClr="FFFFFF"/>
      </a:lt1>
      <a:dk2>
        <a:srgbClr val="312C62"/>
      </a:dk2>
      <a:lt2>
        <a:srgbClr val="C7C4C3"/>
      </a:lt2>
      <a:accent1>
        <a:srgbClr val="5A4B9A"/>
      </a:accent1>
      <a:accent2>
        <a:srgbClr val="EA5042"/>
      </a:accent2>
      <a:accent3>
        <a:srgbClr val="958B87"/>
      </a:accent3>
      <a:accent4>
        <a:srgbClr val="F8AF61"/>
      </a:accent4>
      <a:accent5>
        <a:srgbClr val="83C0EA"/>
      </a:accent5>
      <a:accent6>
        <a:srgbClr val="00958D"/>
      </a:accent6>
      <a:hlink>
        <a:srgbClr val="5A4B9A"/>
      </a:hlink>
      <a:folHlink>
        <a:srgbClr val="5A4B9A"/>
      </a:folHlink>
    </a:clrScheme>
    <a:fontScheme name="Georgia+Arial">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E9235-CD9F-45D8-9951-E1A2B8BFE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4924</Words>
  <Characters>28067</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2021-12-09T14:04:00Z</dcterms:created>
  <dcterms:modified xsi:type="dcterms:W3CDTF">2021-12-09T14:04:00Z</dcterms:modified>
</cp:coreProperties>
</file>